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DBD" w:rsidRDefault="007902A1">
      <w:pPr>
        <w:spacing w:after="0" w:line="259" w:lineRule="auto"/>
        <w:ind w:left="965" w:firstLine="0"/>
      </w:pPr>
      <w:r>
        <w:rPr>
          <w:sz w:val="26"/>
        </w:rPr>
        <w:t xml:space="preserve"> </w:t>
      </w:r>
      <w:r>
        <w:rPr>
          <w:noProof/>
        </w:rPr>
        <w:drawing>
          <wp:inline distT="0" distB="0" distL="0" distR="0">
            <wp:extent cx="4225290" cy="10750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4225290" cy="1075055"/>
                    </a:xfrm>
                    <a:prstGeom prst="rect">
                      <a:avLst/>
                    </a:prstGeom>
                  </pic:spPr>
                </pic:pic>
              </a:graphicData>
            </a:graphic>
          </wp:inline>
        </w:drawing>
      </w:r>
      <w:r>
        <w:rPr>
          <w:sz w:val="44"/>
        </w:rPr>
        <w:t xml:space="preserve"> </w:t>
      </w:r>
    </w:p>
    <w:p w:rsidR="008A6DBD" w:rsidRDefault="007902A1">
      <w:pPr>
        <w:spacing w:after="0" w:line="259" w:lineRule="auto"/>
        <w:ind w:left="196" w:firstLine="0"/>
        <w:jc w:val="center"/>
      </w:pPr>
      <w:r>
        <w:rPr>
          <w:sz w:val="44"/>
        </w:rPr>
        <w:t xml:space="preserve"> </w:t>
      </w:r>
    </w:p>
    <w:p w:rsidR="008A6DBD" w:rsidRDefault="007902A1">
      <w:pPr>
        <w:spacing w:after="0" w:line="259" w:lineRule="auto"/>
        <w:ind w:left="196" w:firstLine="0"/>
        <w:jc w:val="center"/>
      </w:pPr>
      <w:r>
        <w:rPr>
          <w:sz w:val="44"/>
        </w:rPr>
        <w:t xml:space="preserve"> </w:t>
      </w:r>
    </w:p>
    <w:p w:rsidR="008A6DBD" w:rsidRDefault="007902A1">
      <w:pPr>
        <w:spacing w:after="0" w:line="259" w:lineRule="auto"/>
        <w:ind w:left="196" w:firstLine="0"/>
        <w:jc w:val="center"/>
      </w:pPr>
      <w:r>
        <w:rPr>
          <w:sz w:val="44"/>
        </w:rPr>
        <w:t xml:space="preserve"> </w:t>
      </w:r>
    </w:p>
    <w:p w:rsidR="008A6DBD" w:rsidRDefault="007902A1">
      <w:pPr>
        <w:spacing w:after="0" w:line="259" w:lineRule="auto"/>
        <w:ind w:left="174" w:firstLine="0"/>
        <w:jc w:val="center"/>
      </w:pPr>
      <w:r>
        <w:rPr>
          <w:sz w:val="36"/>
        </w:rPr>
        <w:t xml:space="preserve"> </w:t>
      </w:r>
    </w:p>
    <w:p w:rsidR="008A6DBD" w:rsidRDefault="007902A1">
      <w:pPr>
        <w:spacing w:after="305" w:line="259" w:lineRule="auto"/>
        <w:ind w:left="174" w:firstLine="0"/>
        <w:jc w:val="center"/>
      </w:pPr>
      <w:r>
        <w:rPr>
          <w:b/>
          <w:sz w:val="36"/>
        </w:rPr>
        <w:t xml:space="preserve"> </w:t>
      </w:r>
    </w:p>
    <w:p w:rsidR="008A6DBD" w:rsidRDefault="007902A1">
      <w:pPr>
        <w:spacing w:after="0" w:line="259" w:lineRule="auto"/>
        <w:ind w:left="274" w:firstLine="0"/>
        <w:jc w:val="center"/>
      </w:pPr>
      <w:r>
        <w:rPr>
          <w:b/>
          <w:sz w:val="72"/>
        </w:rPr>
        <w:t xml:space="preserve"> </w:t>
      </w:r>
    </w:p>
    <w:p w:rsidR="008A6DBD" w:rsidRDefault="007902A1">
      <w:pPr>
        <w:spacing w:after="0" w:line="259" w:lineRule="auto"/>
        <w:ind w:left="587" w:firstLine="0"/>
      </w:pPr>
      <w:r>
        <w:rPr>
          <w:b/>
          <w:sz w:val="72"/>
        </w:rPr>
        <w:t xml:space="preserve">Records Management </w:t>
      </w:r>
    </w:p>
    <w:p w:rsidR="008A6DBD" w:rsidRDefault="007902A1">
      <w:pPr>
        <w:spacing w:after="0" w:line="259" w:lineRule="auto"/>
        <w:ind w:firstLine="0"/>
        <w:jc w:val="center"/>
      </w:pPr>
      <w:r>
        <w:rPr>
          <w:b/>
          <w:sz w:val="72"/>
        </w:rPr>
        <w:t xml:space="preserve">Policy </w:t>
      </w:r>
    </w:p>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tbl>
      <w:tblPr>
        <w:tblStyle w:val="TableGrid"/>
        <w:tblW w:w="6582" w:type="dxa"/>
        <w:jc w:val="center"/>
        <w:tblInd w:w="0" w:type="dxa"/>
        <w:tblCellMar>
          <w:top w:w="13" w:type="dxa"/>
          <w:left w:w="107" w:type="dxa"/>
          <w:right w:w="115" w:type="dxa"/>
        </w:tblCellMar>
        <w:tblLook w:val="04A0" w:firstRow="1" w:lastRow="0" w:firstColumn="1" w:lastColumn="0" w:noHBand="0" w:noVBand="1"/>
      </w:tblPr>
      <w:tblGrid>
        <w:gridCol w:w="4717"/>
        <w:gridCol w:w="1865"/>
      </w:tblGrid>
      <w:tr w:rsidR="008A6DBD" w:rsidTr="00A44A96">
        <w:trPr>
          <w:trHeight w:val="350"/>
          <w:jc w:val="center"/>
        </w:trPr>
        <w:tc>
          <w:tcPr>
            <w:tcW w:w="4717" w:type="dxa"/>
            <w:tcBorders>
              <w:top w:val="single" w:sz="4" w:space="0" w:color="000000"/>
              <w:left w:val="single" w:sz="4" w:space="0" w:color="000000"/>
              <w:bottom w:val="single" w:sz="4" w:space="0" w:color="000000"/>
              <w:right w:val="single" w:sz="4" w:space="0" w:color="000000"/>
            </w:tcBorders>
          </w:tcPr>
          <w:p w:rsidR="008A6DBD" w:rsidRDefault="007902A1">
            <w:pPr>
              <w:spacing w:after="0" w:line="259" w:lineRule="auto"/>
              <w:ind w:left="1" w:firstLine="0"/>
            </w:pPr>
            <w:r>
              <w:rPr>
                <w:b/>
              </w:rPr>
              <w:t xml:space="preserve">Version </w:t>
            </w:r>
            <w:r w:rsidR="00A56202">
              <w:rPr>
                <w:b/>
              </w:rPr>
              <w:t>- Approvals</w:t>
            </w:r>
          </w:p>
        </w:tc>
        <w:tc>
          <w:tcPr>
            <w:tcW w:w="1865" w:type="dxa"/>
            <w:tcBorders>
              <w:top w:val="single" w:sz="4" w:space="0" w:color="000000"/>
              <w:left w:val="single" w:sz="4" w:space="0" w:color="000000"/>
              <w:bottom w:val="single" w:sz="4" w:space="0" w:color="000000"/>
              <w:right w:val="single" w:sz="4" w:space="0" w:color="000000"/>
            </w:tcBorders>
          </w:tcPr>
          <w:p w:rsidR="008A6DBD" w:rsidRDefault="007902A1" w:rsidP="00A44A96">
            <w:pPr>
              <w:spacing w:after="0" w:line="259" w:lineRule="auto"/>
              <w:ind w:left="0" w:firstLine="0"/>
              <w:jc w:val="center"/>
            </w:pPr>
            <w:r w:rsidRPr="00A44A96">
              <w:rPr>
                <w:b/>
                <w:color w:val="auto"/>
              </w:rPr>
              <w:t>1.</w:t>
            </w:r>
            <w:r w:rsidR="000B654A" w:rsidRPr="00A44A96">
              <w:rPr>
                <w:b/>
                <w:color w:val="auto"/>
              </w:rPr>
              <w:t>4</w:t>
            </w:r>
          </w:p>
        </w:tc>
      </w:tr>
      <w:tr w:rsidR="008A6DBD" w:rsidTr="00A44A96">
        <w:trPr>
          <w:trHeight w:val="349"/>
          <w:jc w:val="center"/>
        </w:trPr>
        <w:tc>
          <w:tcPr>
            <w:tcW w:w="4717" w:type="dxa"/>
            <w:tcBorders>
              <w:top w:val="single" w:sz="4" w:space="0" w:color="000000"/>
              <w:left w:val="single" w:sz="4" w:space="0" w:color="000000"/>
              <w:bottom w:val="single" w:sz="4" w:space="0" w:color="000000"/>
              <w:right w:val="single" w:sz="4" w:space="0" w:color="000000"/>
            </w:tcBorders>
          </w:tcPr>
          <w:p w:rsidR="008A6DBD" w:rsidRDefault="007902A1">
            <w:pPr>
              <w:spacing w:after="0" w:line="259" w:lineRule="auto"/>
              <w:ind w:left="1" w:firstLine="0"/>
            </w:pPr>
            <w:r>
              <w:rPr>
                <w:b/>
              </w:rPr>
              <w:t>IGSG</w:t>
            </w:r>
          </w:p>
        </w:tc>
        <w:tc>
          <w:tcPr>
            <w:tcW w:w="1865" w:type="dxa"/>
            <w:tcBorders>
              <w:top w:val="single" w:sz="4" w:space="0" w:color="000000"/>
              <w:left w:val="single" w:sz="4" w:space="0" w:color="000000"/>
              <w:bottom w:val="single" w:sz="4" w:space="0" w:color="000000"/>
              <w:right w:val="single" w:sz="4" w:space="0" w:color="000000"/>
            </w:tcBorders>
          </w:tcPr>
          <w:p w:rsidR="008A6DBD" w:rsidRDefault="00A44A96" w:rsidP="00A44A96">
            <w:pPr>
              <w:spacing w:after="0" w:line="259" w:lineRule="auto"/>
              <w:ind w:left="0" w:firstLine="0"/>
              <w:jc w:val="center"/>
            </w:pPr>
            <w:r>
              <w:rPr>
                <w:b/>
              </w:rPr>
              <w:t>05/10/2023</w:t>
            </w:r>
          </w:p>
        </w:tc>
      </w:tr>
      <w:tr w:rsidR="008A6DBD" w:rsidTr="00A44A96">
        <w:trPr>
          <w:trHeight w:val="350"/>
          <w:jc w:val="center"/>
        </w:trPr>
        <w:tc>
          <w:tcPr>
            <w:tcW w:w="4717" w:type="dxa"/>
            <w:tcBorders>
              <w:top w:val="single" w:sz="4" w:space="0" w:color="000000"/>
              <w:left w:val="single" w:sz="4" w:space="0" w:color="000000"/>
              <w:bottom w:val="single" w:sz="4" w:space="0" w:color="000000"/>
              <w:right w:val="single" w:sz="4" w:space="0" w:color="000000"/>
            </w:tcBorders>
          </w:tcPr>
          <w:p w:rsidR="008A6DBD" w:rsidRDefault="007902A1">
            <w:pPr>
              <w:spacing w:after="0" w:line="259" w:lineRule="auto"/>
              <w:ind w:left="1" w:firstLine="0"/>
            </w:pPr>
            <w:r>
              <w:rPr>
                <w:b/>
              </w:rPr>
              <w:t>AMT</w:t>
            </w:r>
          </w:p>
        </w:tc>
        <w:tc>
          <w:tcPr>
            <w:tcW w:w="1865" w:type="dxa"/>
            <w:tcBorders>
              <w:top w:val="single" w:sz="4" w:space="0" w:color="000000"/>
              <w:left w:val="single" w:sz="4" w:space="0" w:color="000000"/>
              <w:bottom w:val="single" w:sz="4" w:space="0" w:color="000000"/>
              <w:right w:val="single" w:sz="4" w:space="0" w:color="000000"/>
            </w:tcBorders>
          </w:tcPr>
          <w:p w:rsidR="008A6DBD" w:rsidRDefault="00A44A96" w:rsidP="00A44A96">
            <w:pPr>
              <w:spacing w:after="0" w:line="259" w:lineRule="auto"/>
              <w:ind w:left="0" w:firstLine="0"/>
              <w:jc w:val="center"/>
            </w:pPr>
            <w:r>
              <w:rPr>
                <w:b/>
              </w:rPr>
              <w:t>20/09/2023</w:t>
            </w:r>
          </w:p>
        </w:tc>
      </w:tr>
      <w:tr w:rsidR="008A6DBD" w:rsidTr="00A44A96">
        <w:trPr>
          <w:trHeight w:val="351"/>
          <w:jc w:val="center"/>
        </w:trPr>
        <w:tc>
          <w:tcPr>
            <w:tcW w:w="4717" w:type="dxa"/>
            <w:tcBorders>
              <w:top w:val="single" w:sz="4" w:space="0" w:color="000000"/>
              <w:left w:val="single" w:sz="4" w:space="0" w:color="000000"/>
              <w:bottom w:val="single" w:sz="4" w:space="0" w:color="000000"/>
              <w:right w:val="single" w:sz="4" w:space="0" w:color="000000"/>
            </w:tcBorders>
          </w:tcPr>
          <w:p w:rsidR="008A6DBD" w:rsidRDefault="007902A1">
            <w:pPr>
              <w:spacing w:after="0" w:line="259" w:lineRule="auto"/>
              <w:ind w:left="1" w:firstLine="0"/>
            </w:pPr>
            <w:r>
              <w:rPr>
                <w:b/>
              </w:rPr>
              <w:t>GAC</w:t>
            </w:r>
          </w:p>
        </w:tc>
        <w:tc>
          <w:tcPr>
            <w:tcW w:w="1865" w:type="dxa"/>
            <w:tcBorders>
              <w:top w:val="single" w:sz="4" w:space="0" w:color="000000"/>
              <w:left w:val="single" w:sz="4" w:space="0" w:color="000000"/>
              <w:bottom w:val="single" w:sz="4" w:space="0" w:color="000000"/>
              <w:right w:val="single" w:sz="4" w:space="0" w:color="000000"/>
            </w:tcBorders>
          </w:tcPr>
          <w:p w:rsidR="008A6DBD" w:rsidRDefault="00A44A96" w:rsidP="00A44A96">
            <w:pPr>
              <w:spacing w:after="0" w:line="259" w:lineRule="auto"/>
              <w:ind w:left="0" w:firstLine="0"/>
              <w:jc w:val="center"/>
            </w:pPr>
            <w:r>
              <w:rPr>
                <w:b/>
              </w:rPr>
              <w:t>10/10/2023</w:t>
            </w:r>
          </w:p>
        </w:tc>
      </w:tr>
      <w:tr w:rsidR="00F50BE3" w:rsidTr="00A44A96">
        <w:trPr>
          <w:trHeight w:val="351"/>
          <w:jc w:val="center"/>
        </w:trPr>
        <w:tc>
          <w:tcPr>
            <w:tcW w:w="4717" w:type="dxa"/>
            <w:tcBorders>
              <w:top w:val="single" w:sz="4" w:space="0" w:color="000000"/>
              <w:left w:val="single" w:sz="4" w:space="0" w:color="000000"/>
              <w:bottom w:val="single" w:sz="4" w:space="0" w:color="000000"/>
              <w:right w:val="single" w:sz="4" w:space="0" w:color="000000"/>
            </w:tcBorders>
          </w:tcPr>
          <w:p w:rsidR="00F50BE3" w:rsidRDefault="00F50BE3">
            <w:pPr>
              <w:spacing w:after="0" w:line="259" w:lineRule="auto"/>
              <w:ind w:left="1" w:firstLine="0"/>
              <w:rPr>
                <w:b/>
              </w:rPr>
            </w:pPr>
          </w:p>
        </w:tc>
        <w:tc>
          <w:tcPr>
            <w:tcW w:w="1865" w:type="dxa"/>
            <w:tcBorders>
              <w:top w:val="single" w:sz="4" w:space="0" w:color="000000"/>
              <w:left w:val="single" w:sz="4" w:space="0" w:color="000000"/>
              <w:bottom w:val="single" w:sz="4" w:space="0" w:color="000000"/>
              <w:right w:val="single" w:sz="4" w:space="0" w:color="000000"/>
            </w:tcBorders>
          </w:tcPr>
          <w:p w:rsidR="00F50BE3" w:rsidRDefault="00F50BE3" w:rsidP="00A44A96">
            <w:pPr>
              <w:spacing w:after="0" w:line="259" w:lineRule="auto"/>
              <w:ind w:left="0" w:firstLine="0"/>
              <w:jc w:val="center"/>
              <w:rPr>
                <w:b/>
              </w:rPr>
            </w:pPr>
          </w:p>
        </w:tc>
      </w:tr>
      <w:tr w:rsidR="008A6DBD" w:rsidTr="00A44A96">
        <w:trPr>
          <w:trHeight w:val="350"/>
          <w:jc w:val="center"/>
        </w:trPr>
        <w:tc>
          <w:tcPr>
            <w:tcW w:w="4717" w:type="dxa"/>
            <w:tcBorders>
              <w:top w:val="single" w:sz="4" w:space="0" w:color="000000"/>
              <w:left w:val="single" w:sz="4" w:space="0" w:color="000000"/>
              <w:bottom w:val="single" w:sz="4" w:space="0" w:color="000000"/>
              <w:right w:val="single" w:sz="4" w:space="0" w:color="000000"/>
            </w:tcBorders>
          </w:tcPr>
          <w:p w:rsidR="008A6DBD" w:rsidRDefault="00F50BE3">
            <w:pPr>
              <w:spacing w:after="0" w:line="259" w:lineRule="auto"/>
              <w:ind w:left="1" w:firstLine="0"/>
            </w:pPr>
            <w:r>
              <w:rPr>
                <w:b/>
              </w:rPr>
              <w:t xml:space="preserve">Next </w:t>
            </w:r>
            <w:r w:rsidR="007902A1">
              <w:rPr>
                <w:b/>
              </w:rPr>
              <w:t xml:space="preserve">Review Date </w:t>
            </w:r>
          </w:p>
        </w:tc>
        <w:tc>
          <w:tcPr>
            <w:tcW w:w="1865" w:type="dxa"/>
            <w:tcBorders>
              <w:top w:val="single" w:sz="4" w:space="0" w:color="000000"/>
              <w:left w:val="single" w:sz="4" w:space="0" w:color="000000"/>
              <w:bottom w:val="single" w:sz="4" w:space="0" w:color="000000"/>
              <w:right w:val="single" w:sz="4" w:space="0" w:color="000000"/>
            </w:tcBorders>
          </w:tcPr>
          <w:p w:rsidR="008A6DBD" w:rsidRDefault="00F50BE3" w:rsidP="00A44A96">
            <w:pPr>
              <w:spacing w:after="0" w:line="259" w:lineRule="auto"/>
              <w:ind w:left="0" w:firstLine="0"/>
              <w:jc w:val="center"/>
            </w:pPr>
            <w:r>
              <w:rPr>
                <w:b/>
              </w:rPr>
              <w:t>30/10/2026</w:t>
            </w:r>
          </w:p>
        </w:tc>
      </w:tr>
    </w:tbl>
    <w:p w:rsidR="008A6DBD" w:rsidRDefault="007902A1">
      <w:pPr>
        <w:spacing w:after="0" w:line="259" w:lineRule="auto"/>
        <w:ind w:firstLine="0"/>
      </w:pPr>
      <w:r>
        <w:rPr>
          <w:b/>
          <w:sz w:val="44"/>
        </w:rPr>
        <w:t xml:space="preserve"> </w:t>
      </w:r>
    </w:p>
    <w:p w:rsidR="008A6DBD" w:rsidRDefault="007902A1">
      <w:pPr>
        <w:spacing w:after="0" w:line="259" w:lineRule="auto"/>
        <w:ind w:firstLine="0"/>
      </w:pPr>
      <w:r>
        <w:rPr>
          <w:b/>
          <w:sz w:val="44"/>
        </w:rPr>
        <w:t xml:space="preserve"> </w:t>
      </w:r>
    </w:p>
    <w:p w:rsidR="000B654A" w:rsidRDefault="000B654A">
      <w:pPr>
        <w:spacing w:after="160" w:line="259" w:lineRule="auto"/>
        <w:ind w:left="0" w:firstLine="0"/>
        <w:rPr>
          <w:b/>
          <w:sz w:val="44"/>
        </w:rPr>
      </w:pPr>
      <w:r>
        <w:rPr>
          <w:b/>
          <w:sz w:val="44"/>
        </w:rPr>
        <w:br w:type="page"/>
      </w:r>
    </w:p>
    <w:p w:rsidR="000B654A" w:rsidRDefault="00E94764">
      <w:pPr>
        <w:spacing w:after="160" w:line="259" w:lineRule="auto"/>
        <w:ind w:left="0" w:firstLine="0"/>
        <w:rPr>
          <w:rFonts w:ascii="Tahoma" w:eastAsia="Tahoma" w:hAnsi="Tahoma" w:cs="Tahoma"/>
          <w:sz w:val="24"/>
        </w:rPr>
      </w:pPr>
      <w:r>
        <w:rPr>
          <w:rFonts w:ascii="Tahoma" w:eastAsia="Tahoma" w:hAnsi="Tahoma" w:cs="Tahoma"/>
          <w:sz w:val="24"/>
        </w:rPr>
        <w:lastRenderedPageBreak/>
        <w:tab/>
      </w:r>
    </w:p>
    <w:p w:rsidR="008A6DBD" w:rsidRDefault="008A6DBD">
      <w:pPr>
        <w:spacing w:after="15" w:line="259" w:lineRule="auto"/>
        <w:ind w:left="286" w:firstLine="0"/>
        <w:jc w:val="center"/>
      </w:pPr>
    </w:p>
    <w:p w:rsidR="008A6DBD" w:rsidRDefault="007902A1">
      <w:pPr>
        <w:spacing w:after="0" w:line="259" w:lineRule="auto"/>
        <w:ind w:firstLine="0"/>
      </w:pPr>
      <w:r>
        <w:rPr>
          <w:rFonts w:ascii="Tahoma" w:eastAsia="Tahoma" w:hAnsi="Tahoma" w:cs="Tahoma"/>
        </w:rPr>
        <w:t xml:space="preserve"> </w:t>
      </w:r>
    </w:p>
    <w:sdt>
      <w:sdtPr>
        <w:id w:val="-1457873627"/>
        <w:docPartObj>
          <w:docPartGallery w:val="Table of Contents"/>
        </w:docPartObj>
      </w:sdtPr>
      <w:sdtEndPr/>
      <w:sdtContent>
        <w:p w:rsidR="008A6DBD" w:rsidRDefault="007902A1">
          <w:pPr>
            <w:spacing w:after="4" w:line="254" w:lineRule="auto"/>
            <w:ind w:left="71" w:hanging="10"/>
          </w:pPr>
          <w:r>
            <w:rPr>
              <w:b/>
            </w:rPr>
            <w:t xml:space="preserve">CONTENTS </w:t>
          </w:r>
        </w:p>
        <w:p w:rsidR="008A6DBD" w:rsidRDefault="007902A1">
          <w:pPr>
            <w:spacing w:after="0" w:line="259" w:lineRule="auto"/>
            <w:ind w:firstLine="0"/>
          </w:pPr>
          <w:r>
            <w:rPr>
              <w:b/>
            </w:rPr>
            <w:t xml:space="preserve"> </w:t>
          </w:r>
        </w:p>
        <w:p w:rsidR="008A6DBD" w:rsidRDefault="007902A1">
          <w:pPr>
            <w:spacing w:after="0" w:line="259" w:lineRule="auto"/>
            <w:ind w:firstLine="0"/>
          </w:pPr>
          <w:r>
            <w:rPr>
              <w:b/>
            </w:rPr>
            <w:t xml:space="preserve"> </w:t>
          </w:r>
        </w:p>
        <w:p w:rsidR="008A6DBD" w:rsidRDefault="007902A1">
          <w:pPr>
            <w:tabs>
              <w:tab w:val="center" w:pos="2026"/>
              <w:tab w:val="center" w:pos="4104"/>
              <w:tab w:val="center" w:pos="7687"/>
            </w:tabs>
            <w:spacing w:after="4" w:line="254" w:lineRule="auto"/>
            <w:ind w:left="0" w:firstLine="0"/>
          </w:pPr>
          <w:r>
            <w:rPr>
              <w:b/>
            </w:rPr>
            <w:t xml:space="preserve"> </w:t>
          </w:r>
          <w:r>
            <w:rPr>
              <w:b/>
            </w:rPr>
            <w:tab/>
            <w:t xml:space="preserve"> </w:t>
          </w:r>
          <w:r>
            <w:rPr>
              <w:b/>
            </w:rPr>
            <w:tab/>
            <w:t xml:space="preserve"> </w:t>
          </w:r>
          <w:r>
            <w:rPr>
              <w:b/>
            </w:rPr>
            <w:tab/>
            <w:t xml:space="preserve">Page  </w:t>
          </w:r>
        </w:p>
        <w:p w:rsidR="008A6DBD" w:rsidRDefault="007902A1">
          <w:pPr>
            <w:spacing w:after="0" w:line="259" w:lineRule="auto"/>
            <w:ind w:firstLine="0"/>
          </w:pPr>
          <w:r>
            <w:rPr>
              <w:b/>
            </w:rPr>
            <w:t xml:space="preserve"> </w:t>
          </w:r>
          <w:r>
            <w:rPr>
              <w:b/>
            </w:rPr>
            <w:tab/>
            <w:t xml:space="preserve"> </w:t>
          </w:r>
          <w:r>
            <w:rPr>
              <w:b/>
            </w:rPr>
            <w:tab/>
            <w:t xml:space="preserve"> </w:t>
          </w:r>
        </w:p>
        <w:p w:rsidR="00D334AC" w:rsidRDefault="007902A1">
          <w:pPr>
            <w:pStyle w:val="TOC1"/>
            <w:tabs>
              <w:tab w:val="left" w:pos="660"/>
              <w:tab w:val="right" w:pos="8565"/>
            </w:tabs>
            <w:rPr>
              <w:rFonts w:asciiTheme="minorHAnsi" w:eastAsiaTheme="minorEastAsia" w:hAnsiTheme="minorHAnsi" w:cstheme="minorBidi"/>
              <w:b w:val="0"/>
              <w:noProof/>
              <w:color w:val="auto"/>
              <w:sz w:val="22"/>
            </w:rPr>
          </w:pPr>
          <w:r>
            <w:fldChar w:fldCharType="begin"/>
          </w:r>
          <w:r>
            <w:instrText xml:space="preserve"> TOC \o "1-1" \h \z \u </w:instrText>
          </w:r>
          <w:r>
            <w:fldChar w:fldCharType="separate"/>
          </w:r>
          <w:hyperlink w:anchor="_Toc150869249" w:history="1">
            <w:r w:rsidR="00D334AC" w:rsidRPr="00C15407">
              <w:rPr>
                <w:rStyle w:val="Hyperlink"/>
                <w:noProof/>
              </w:rPr>
              <w:t xml:space="preserve">1. </w:t>
            </w:r>
            <w:r w:rsidR="00D334AC">
              <w:rPr>
                <w:rFonts w:asciiTheme="minorHAnsi" w:eastAsiaTheme="minorEastAsia" w:hAnsiTheme="minorHAnsi" w:cstheme="minorBidi"/>
                <w:b w:val="0"/>
                <w:noProof/>
                <w:color w:val="auto"/>
                <w:sz w:val="22"/>
              </w:rPr>
              <w:tab/>
            </w:r>
            <w:r w:rsidR="00D334AC" w:rsidRPr="00C15407">
              <w:rPr>
                <w:rStyle w:val="Hyperlink"/>
                <w:noProof/>
              </w:rPr>
              <w:t xml:space="preserve"> Introduction</w:t>
            </w:r>
            <w:r w:rsidR="00D334AC">
              <w:rPr>
                <w:noProof/>
                <w:webHidden/>
              </w:rPr>
              <w:tab/>
            </w:r>
            <w:r w:rsidR="00D334AC">
              <w:rPr>
                <w:noProof/>
                <w:webHidden/>
              </w:rPr>
              <w:fldChar w:fldCharType="begin"/>
            </w:r>
            <w:r w:rsidR="00D334AC">
              <w:rPr>
                <w:noProof/>
                <w:webHidden/>
              </w:rPr>
              <w:instrText xml:space="preserve"> PAGEREF _Toc150869249 \h </w:instrText>
            </w:r>
            <w:r w:rsidR="00D334AC">
              <w:rPr>
                <w:noProof/>
                <w:webHidden/>
              </w:rPr>
            </w:r>
            <w:r w:rsidR="00D334AC">
              <w:rPr>
                <w:noProof/>
                <w:webHidden/>
              </w:rPr>
              <w:fldChar w:fldCharType="separate"/>
            </w:r>
            <w:r w:rsidR="00D334AC">
              <w:rPr>
                <w:noProof/>
                <w:webHidden/>
              </w:rPr>
              <w:t>3</w:t>
            </w:r>
            <w:r w:rsidR="00D334AC">
              <w:rPr>
                <w:noProof/>
                <w:webHidden/>
              </w:rPr>
              <w:fldChar w:fldCharType="end"/>
            </w:r>
          </w:hyperlink>
        </w:p>
        <w:p w:rsidR="00D334AC" w:rsidRDefault="00D334AC">
          <w:pPr>
            <w:pStyle w:val="TOC1"/>
            <w:tabs>
              <w:tab w:val="right" w:pos="8565"/>
            </w:tabs>
            <w:rPr>
              <w:rFonts w:asciiTheme="minorHAnsi" w:eastAsiaTheme="minorEastAsia" w:hAnsiTheme="minorHAnsi" w:cstheme="minorBidi"/>
              <w:b w:val="0"/>
              <w:noProof/>
              <w:color w:val="auto"/>
              <w:sz w:val="22"/>
            </w:rPr>
          </w:pPr>
          <w:hyperlink w:anchor="_Toc150869250" w:history="1">
            <w:r w:rsidRPr="00C15407">
              <w:rPr>
                <w:rStyle w:val="Hyperlink"/>
                <w:noProof/>
              </w:rPr>
              <w:t xml:space="preserve">2.  </w:t>
            </w:r>
            <w:r w:rsidR="00A56202">
              <w:rPr>
                <w:rStyle w:val="Hyperlink"/>
                <w:noProof/>
              </w:rPr>
              <w:t xml:space="preserve">   </w:t>
            </w:r>
            <w:r w:rsidRPr="00C15407">
              <w:rPr>
                <w:rStyle w:val="Hyperlink"/>
                <w:noProof/>
              </w:rPr>
              <w:t>Policy Statement</w:t>
            </w:r>
            <w:r>
              <w:rPr>
                <w:noProof/>
                <w:webHidden/>
              </w:rPr>
              <w:tab/>
            </w:r>
            <w:r>
              <w:rPr>
                <w:noProof/>
                <w:webHidden/>
              </w:rPr>
              <w:fldChar w:fldCharType="begin"/>
            </w:r>
            <w:r>
              <w:rPr>
                <w:noProof/>
                <w:webHidden/>
              </w:rPr>
              <w:instrText xml:space="preserve"> PAGEREF _Toc150869250 \h </w:instrText>
            </w:r>
            <w:r>
              <w:rPr>
                <w:noProof/>
                <w:webHidden/>
              </w:rPr>
            </w:r>
            <w:r>
              <w:rPr>
                <w:noProof/>
                <w:webHidden/>
              </w:rPr>
              <w:fldChar w:fldCharType="separate"/>
            </w:r>
            <w:r>
              <w:rPr>
                <w:noProof/>
                <w:webHidden/>
              </w:rPr>
              <w:t>3</w:t>
            </w:r>
            <w:r>
              <w:rPr>
                <w:noProof/>
                <w:webHidden/>
              </w:rPr>
              <w:fldChar w:fldCharType="end"/>
            </w:r>
          </w:hyperlink>
        </w:p>
        <w:p w:rsidR="00D334AC" w:rsidRDefault="00D334AC">
          <w:pPr>
            <w:pStyle w:val="TOC1"/>
            <w:tabs>
              <w:tab w:val="right" w:pos="8565"/>
            </w:tabs>
            <w:rPr>
              <w:rFonts w:asciiTheme="minorHAnsi" w:eastAsiaTheme="minorEastAsia" w:hAnsiTheme="minorHAnsi" w:cstheme="minorBidi"/>
              <w:b w:val="0"/>
              <w:noProof/>
              <w:color w:val="auto"/>
              <w:sz w:val="22"/>
            </w:rPr>
          </w:pPr>
          <w:hyperlink w:anchor="_Toc150869251" w:history="1">
            <w:r w:rsidRPr="00C15407">
              <w:rPr>
                <w:rStyle w:val="Hyperlink"/>
                <w:noProof/>
              </w:rPr>
              <w:t xml:space="preserve">3.   </w:t>
            </w:r>
            <w:r w:rsidR="00A56202">
              <w:rPr>
                <w:rStyle w:val="Hyperlink"/>
                <w:noProof/>
              </w:rPr>
              <w:t xml:space="preserve">  </w:t>
            </w:r>
            <w:r w:rsidRPr="00C15407">
              <w:rPr>
                <w:rStyle w:val="Hyperlink"/>
                <w:noProof/>
              </w:rPr>
              <w:t>Aims</w:t>
            </w:r>
            <w:r>
              <w:rPr>
                <w:noProof/>
                <w:webHidden/>
              </w:rPr>
              <w:tab/>
            </w:r>
            <w:r>
              <w:rPr>
                <w:noProof/>
                <w:webHidden/>
              </w:rPr>
              <w:fldChar w:fldCharType="begin"/>
            </w:r>
            <w:r>
              <w:rPr>
                <w:noProof/>
                <w:webHidden/>
              </w:rPr>
              <w:instrText xml:space="preserve"> PAGEREF _Toc150869251 \h </w:instrText>
            </w:r>
            <w:r>
              <w:rPr>
                <w:noProof/>
                <w:webHidden/>
              </w:rPr>
            </w:r>
            <w:r>
              <w:rPr>
                <w:noProof/>
                <w:webHidden/>
              </w:rPr>
              <w:fldChar w:fldCharType="separate"/>
            </w:r>
            <w:r>
              <w:rPr>
                <w:noProof/>
                <w:webHidden/>
              </w:rPr>
              <w:t>4</w:t>
            </w:r>
            <w:r>
              <w:rPr>
                <w:noProof/>
                <w:webHidden/>
              </w:rPr>
              <w:fldChar w:fldCharType="end"/>
            </w:r>
          </w:hyperlink>
        </w:p>
        <w:p w:rsidR="00D334AC" w:rsidRDefault="00D334AC">
          <w:pPr>
            <w:pStyle w:val="TOC1"/>
            <w:tabs>
              <w:tab w:val="left" w:pos="660"/>
              <w:tab w:val="right" w:pos="8565"/>
            </w:tabs>
            <w:rPr>
              <w:rFonts w:asciiTheme="minorHAnsi" w:eastAsiaTheme="minorEastAsia" w:hAnsiTheme="minorHAnsi" w:cstheme="minorBidi"/>
              <w:b w:val="0"/>
              <w:noProof/>
              <w:color w:val="auto"/>
              <w:sz w:val="22"/>
            </w:rPr>
          </w:pPr>
          <w:hyperlink w:anchor="_Toc150869252" w:history="1">
            <w:r w:rsidRPr="00C15407">
              <w:rPr>
                <w:rStyle w:val="Hyperlink"/>
                <w:noProof/>
              </w:rPr>
              <w:t xml:space="preserve">4. </w:t>
            </w:r>
            <w:r>
              <w:rPr>
                <w:rFonts w:asciiTheme="minorHAnsi" w:eastAsiaTheme="minorEastAsia" w:hAnsiTheme="minorHAnsi" w:cstheme="minorBidi"/>
                <w:b w:val="0"/>
                <w:noProof/>
                <w:color w:val="auto"/>
                <w:sz w:val="22"/>
              </w:rPr>
              <w:tab/>
            </w:r>
            <w:r w:rsidRPr="00C15407">
              <w:rPr>
                <w:rStyle w:val="Hyperlink"/>
                <w:noProof/>
              </w:rPr>
              <w:t>Scope</w:t>
            </w:r>
            <w:r>
              <w:rPr>
                <w:noProof/>
                <w:webHidden/>
              </w:rPr>
              <w:tab/>
            </w:r>
            <w:r>
              <w:rPr>
                <w:noProof/>
                <w:webHidden/>
              </w:rPr>
              <w:fldChar w:fldCharType="begin"/>
            </w:r>
            <w:r>
              <w:rPr>
                <w:noProof/>
                <w:webHidden/>
              </w:rPr>
              <w:instrText xml:space="preserve"> PAGEREF _Toc150869252 \h </w:instrText>
            </w:r>
            <w:r>
              <w:rPr>
                <w:noProof/>
                <w:webHidden/>
              </w:rPr>
            </w:r>
            <w:r>
              <w:rPr>
                <w:noProof/>
                <w:webHidden/>
              </w:rPr>
              <w:fldChar w:fldCharType="separate"/>
            </w:r>
            <w:r>
              <w:rPr>
                <w:noProof/>
                <w:webHidden/>
              </w:rPr>
              <w:t>5</w:t>
            </w:r>
            <w:r>
              <w:rPr>
                <w:noProof/>
                <w:webHidden/>
              </w:rPr>
              <w:fldChar w:fldCharType="end"/>
            </w:r>
          </w:hyperlink>
        </w:p>
        <w:p w:rsidR="00D334AC" w:rsidRDefault="00D334AC">
          <w:pPr>
            <w:pStyle w:val="TOC1"/>
            <w:tabs>
              <w:tab w:val="right" w:pos="8565"/>
            </w:tabs>
            <w:rPr>
              <w:rFonts w:asciiTheme="minorHAnsi" w:eastAsiaTheme="minorEastAsia" w:hAnsiTheme="minorHAnsi" w:cstheme="minorBidi"/>
              <w:b w:val="0"/>
              <w:noProof/>
              <w:color w:val="auto"/>
              <w:sz w:val="22"/>
            </w:rPr>
          </w:pPr>
          <w:hyperlink w:anchor="_Toc150869253" w:history="1">
            <w:r w:rsidRPr="00C15407">
              <w:rPr>
                <w:rStyle w:val="Hyperlink"/>
                <w:noProof/>
              </w:rPr>
              <w:t>5.     Records Management Process</w:t>
            </w:r>
            <w:r>
              <w:rPr>
                <w:noProof/>
                <w:webHidden/>
              </w:rPr>
              <w:tab/>
            </w:r>
            <w:r>
              <w:rPr>
                <w:noProof/>
                <w:webHidden/>
              </w:rPr>
              <w:fldChar w:fldCharType="begin"/>
            </w:r>
            <w:r>
              <w:rPr>
                <w:noProof/>
                <w:webHidden/>
              </w:rPr>
              <w:instrText xml:space="preserve"> PAGEREF _Toc150869253 \h </w:instrText>
            </w:r>
            <w:r>
              <w:rPr>
                <w:noProof/>
                <w:webHidden/>
              </w:rPr>
            </w:r>
            <w:r>
              <w:rPr>
                <w:noProof/>
                <w:webHidden/>
              </w:rPr>
              <w:fldChar w:fldCharType="separate"/>
            </w:r>
            <w:r>
              <w:rPr>
                <w:noProof/>
                <w:webHidden/>
              </w:rPr>
              <w:t>5</w:t>
            </w:r>
            <w:r>
              <w:rPr>
                <w:noProof/>
                <w:webHidden/>
              </w:rPr>
              <w:fldChar w:fldCharType="end"/>
            </w:r>
          </w:hyperlink>
        </w:p>
        <w:p w:rsidR="00D334AC" w:rsidRDefault="00D334AC">
          <w:pPr>
            <w:pStyle w:val="TOC1"/>
            <w:tabs>
              <w:tab w:val="left" w:pos="660"/>
              <w:tab w:val="right" w:pos="8565"/>
            </w:tabs>
            <w:rPr>
              <w:rFonts w:asciiTheme="minorHAnsi" w:eastAsiaTheme="minorEastAsia" w:hAnsiTheme="minorHAnsi" w:cstheme="minorBidi"/>
              <w:b w:val="0"/>
              <w:noProof/>
              <w:color w:val="auto"/>
              <w:sz w:val="22"/>
            </w:rPr>
          </w:pPr>
          <w:hyperlink w:anchor="_Toc150869254" w:history="1">
            <w:r w:rsidRPr="00C15407">
              <w:rPr>
                <w:rStyle w:val="Hyperlink"/>
                <w:noProof/>
              </w:rPr>
              <w:t xml:space="preserve">6. </w:t>
            </w:r>
            <w:r>
              <w:rPr>
                <w:rFonts w:asciiTheme="minorHAnsi" w:eastAsiaTheme="minorEastAsia" w:hAnsiTheme="minorHAnsi" w:cstheme="minorBidi"/>
                <w:b w:val="0"/>
                <w:noProof/>
                <w:color w:val="auto"/>
                <w:sz w:val="22"/>
              </w:rPr>
              <w:tab/>
            </w:r>
            <w:r w:rsidRPr="00C15407">
              <w:rPr>
                <w:rStyle w:val="Hyperlink"/>
                <w:noProof/>
              </w:rPr>
              <w:t>Off-site Records Management</w:t>
            </w:r>
            <w:r>
              <w:rPr>
                <w:noProof/>
                <w:webHidden/>
              </w:rPr>
              <w:tab/>
            </w:r>
            <w:r>
              <w:rPr>
                <w:noProof/>
                <w:webHidden/>
              </w:rPr>
              <w:fldChar w:fldCharType="begin"/>
            </w:r>
            <w:r>
              <w:rPr>
                <w:noProof/>
                <w:webHidden/>
              </w:rPr>
              <w:instrText xml:space="preserve"> PAGEREF _Toc150869254 \h </w:instrText>
            </w:r>
            <w:r>
              <w:rPr>
                <w:noProof/>
                <w:webHidden/>
              </w:rPr>
            </w:r>
            <w:r>
              <w:rPr>
                <w:noProof/>
                <w:webHidden/>
              </w:rPr>
              <w:fldChar w:fldCharType="separate"/>
            </w:r>
            <w:r>
              <w:rPr>
                <w:noProof/>
                <w:webHidden/>
              </w:rPr>
              <w:t>7</w:t>
            </w:r>
            <w:r>
              <w:rPr>
                <w:noProof/>
                <w:webHidden/>
              </w:rPr>
              <w:fldChar w:fldCharType="end"/>
            </w:r>
          </w:hyperlink>
        </w:p>
        <w:p w:rsidR="00D334AC" w:rsidRDefault="00D334AC">
          <w:pPr>
            <w:pStyle w:val="TOC1"/>
            <w:tabs>
              <w:tab w:val="left" w:pos="660"/>
              <w:tab w:val="right" w:pos="8565"/>
            </w:tabs>
            <w:rPr>
              <w:rFonts w:asciiTheme="minorHAnsi" w:eastAsiaTheme="minorEastAsia" w:hAnsiTheme="minorHAnsi" w:cstheme="minorBidi"/>
              <w:b w:val="0"/>
              <w:noProof/>
              <w:color w:val="auto"/>
              <w:sz w:val="22"/>
            </w:rPr>
          </w:pPr>
          <w:hyperlink w:anchor="_Toc150869255" w:history="1">
            <w:r w:rsidRPr="00C15407">
              <w:rPr>
                <w:rStyle w:val="Hyperlink"/>
                <w:noProof/>
              </w:rPr>
              <w:t xml:space="preserve">7. </w:t>
            </w:r>
            <w:r>
              <w:rPr>
                <w:rFonts w:asciiTheme="minorHAnsi" w:eastAsiaTheme="minorEastAsia" w:hAnsiTheme="minorHAnsi" w:cstheme="minorBidi"/>
                <w:b w:val="0"/>
                <w:noProof/>
                <w:color w:val="auto"/>
                <w:sz w:val="22"/>
              </w:rPr>
              <w:tab/>
            </w:r>
            <w:r w:rsidRPr="00C15407">
              <w:rPr>
                <w:rStyle w:val="Hyperlink"/>
                <w:noProof/>
              </w:rPr>
              <w:t>Accountability</w:t>
            </w:r>
            <w:r>
              <w:rPr>
                <w:noProof/>
                <w:webHidden/>
              </w:rPr>
              <w:tab/>
            </w:r>
            <w:r>
              <w:rPr>
                <w:noProof/>
                <w:webHidden/>
              </w:rPr>
              <w:fldChar w:fldCharType="begin"/>
            </w:r>
            <w:r>
              <w:rPr>
                <w:noProof/>
                <w:webHidden/>
              </w:rPr>
              <w:instrText xml:space="preserve"> PAGEREF _Toc150869255 \h </w:instrText>
            </w:r>
            <w:r>
              <w:rPr>
                <w:noProof/>
                <w:webHidden/>
              </w:rPr>
            </w:r>
            <w:r>
              <w:rPr>
                <w:noProof/>
                <w:webHidden/>
              </w:rPr>
              <w:fldChar w:fldCharType="separate"/>
            </w:r>
            <w:r>
              <w:rPr>
                <w:noProof/>
                <w:webHidden/>
              </w:rPr>
              <w:t>7</w:t>
            </w:r>
            <w:r>
              <w:rPr>
                <w:noProof/>
                <w:webHidden/>
              </w:rPr>
              <w:fldChar w:fldCharType="end"/>
            </w:r>
          </w:hyperlink>
        </w:p>
        <w:p w:rsidR="00D334AC" w:rsidRDefault="00D334AC">
          <w:pPr>
            <w:pStyle w:val="TOC1"/>
            <w:tabs>
              <w:tab w:val="left" w:pos="660"/>
              <w:tab w:val="right" w:pos="8565"/>
            </w:tabs>
            <w:rPr>
              <w:rFonts w:asciiTheme="minorHAnsi" w:eastAsiaTheme="minorEastAsia" w:hAnsiTheme="minorHAnsi" w:cstheme="minorBidi"/>
              <w:b w:val="0"/>
              <w:noProof/>
              <w:color w:val="auto"/>
              <w:sz w:val="22"/>
            </w:rPr>
          </w:pPr>
          <w:hyperlink w:anchor="_Toc150869256" w:history="1">
            <w:r w:rsidRPr="00C15407">
              <w:rPr>
                <w:rStyle w:val="Hyperlink"/>
                <w:noProof/>
              </w:rPr>
              <w:t xml:space="preserve">8. </w:t>
            </w:r>
            <w:r>
              <w:rPr>
                <w:rFonts w:asciiTheme="minorHAnsi" w:eastAsiaTheme="minorEastAsia" w:hAnsiTheme="minorHAnsi" w:cstheme="minorBidi"/>
                <w:b w:val="0"/>
                <w:noProof/>
                <w:color w:val="auto"/>
                <w:sz w:val="22"/>
              </w:rPr>
              <w:tab/>
            </w:r>
            <w:r w:rsidRPr="00C15407">
              <w:rPr>
                <w:rStyle w:val="Hyperlink"/>
                <w:noProof/>
              </w:rPr>
              <w:t>Monitoring Compliance</w:t>
            </w:r>
            <w:r>
              <w:rPr>
                <w:noProof/>
                <w:webHidden/>
              </w:rPr>
              <w:tab/>
            </w:r>
            <w:r>
              <w:rPr>
                <w:noProof/>
                <w:webHidden/>
              </w:rPr>
              <w:fldChar w:fldCharType="begin"/>
            </w:r>
            <w:r>
              <w:rPr>
                <w:noProof/>
                <w:webHidden/>
              </w:rPr>
              <w:instrText xml:space="preserve"> PAGEREF _Toc150869256 \h </w:instrText>
            </w:r>
            <w:r>
              <w:rPr>
                <w:noProof/>
                <w:webHidden/>
              </w:rPr>
            </w:r>
            <w:r>
              <w:rPr>
                <w:noProof/>
                <w:webHidden/>
              </w:rPr>
              <w:fldChar w:fldCharType="separate"/>
            </w:r>
            <w:r>
              <w:rPr>
                <w:noProof/>
                <w:webHidden/>
              </w:rPr>
              <w:t>10</w:t>
            </w:r>
            <w:r>
              <w:rPr>
                <w:noProof/>
                <w:webHidden/>
              </w:rPr>
              <w:fldChar w:fldCharType="end"/>
            </w:r>
          </w:hyperlink>
        </w:p>
        <w:p w:rsidR="00D334AC" w:rsidRDefault="00D334AC">
          <w:pPr>
            <w:pStyle w:val="TOC1"/>
            <w:tabs>
              <w:tab w:val="left" w:pos="660"/>
              <w:tab w:val="right" w:pos="8565"/>
            </w:tabs>
            <w:rPr>
              <w:rFonts w:asciiTheme="minorHAnsi" w:eastAsiaTheme="minorEastAsia" w:hAnsiTheme="minorHAnsi" w:cstheme="minorBidi"/>
              <w:b w:val="0"/>
              <w:noProof/>
              <w:color w:val="auto"/>
              <w:sz w:val="22"/>
            </w:rPr>
          </w:pPr>
          <w:hyperlink w:anchor="_Toc150869257" w:history="1">
            <w:r w:rsidRPr="00C15407">
              <w:rPr>
                <w:rStyle w:val="Hyperlink"/>
                <w:noProof/>
              </w:rPr>
              <w:t xml:space="preserve">9. </w:t>
            </w:r>
            <w:r>
              <w:rPr>
                <w:rFonts w:asciiTheme="minorHAnsi" w:eastAsiaTheme="minorEastAsia" w:hAnsiTheme="minorHAnsi" w:cstheme="minorBidi"/>
                <w:b w:val="0"/>
                <w:noProof/>
                <w:color w:val="auto"/>
                <w:sz w:val="22"/>
              </w:rPr>
              <w:tab/>
            </w:r>
            <w:r w:rsidRPr="00C15407">
              <w:rPr>
                <w:rStyle w:val="Hyperlink"/>
                <w:noProof/>
              </w:rPr>
              <w:t>Review of Policy</w:t>
            </w:r>
            <w:r>
              <w:rPr>
                <w:noProof/>
                <w:webHidden/>
              </w:rPr>
              <w:tab/>
            </w:r>
            <w:r>
              <w:rPr>
                <w:noProof/>
                <w:webHidden/>
              </w:rPr>
              <w:fldChar w:fldCharType="begin"/>
            </w:r>
            <w:r>
              <w:rPr>
                <w:noProof/>
                <w:webHidden/>
              </w:rPr>
              <w:instrText xml:space="preserve"> PAGEREF _Toc150869257 \h </w:instrText>
            </w:r>
            <w:r>
              <w:rPr>
                <w:noProof/>
                <w:webHidden/>
              </w:rPr>
            </w:r>
            <w:r>
              <w:rPr>
                <w:noProof/>
                <w:webHidden/>
              </w:rPr>
              <w:fldChar w:fldCharType="separate"/>
            </w:r>
            <w:r>
              <w:rPr>
                <w:noProof/>
                <w:webHidden/>
              </w:rPr>
              <w:t>10</w:t>
            </w:r>
            <w:r>
              <w:rPr>
                <w:noProof/>
                <w:webHidden/>
              </w:rPr>
              <w:fldChar w:fldCharType="end"/>
            </w:r>
          </w:hyperlink>
        </w:p>
        <w:p w:rsidR="00D334AC" w:rsidRDefault="00D334AC">
          <w:pPr>
            <w:pStyle w:val="TOC1"/>
            <w:tabs>
              <w:tab w:val="right" w:pos="8565"/>
            </w:tabs>
            <w:rPr>
              <w:rFonts w:asciiTheme="minorHAnsi" w:eastAsiaTheme="minorEastAsia" w:hAnsiTheme="minorHAnsi" w:cstheme="minorBidi"/>
              <w:b w:val="0"/>
              <w:noProof/>
              <w:color w:val="auto"/>
              <w:sz w:val="22"/>
            </w:rPr>
          </w:pPr>
          <w:hyperlink w:anchor="_Toc150869258" w:history="1">
            <w:r w:rsidRPr="00C15407">
              <w:rPr>
                <w:rStyle w:val="Hyperlink"/>
                <w:noProof/>
              </w:rPr>
              <w:t>10.</w:t>
            </w:r>
            <w:r w:rsidRPr="00C15407">
              <w:rPr>
                <w:rStyle w:val="Hyperlink"/>
                <w:i/>
                <w:noProof/>
              </w:rPr>
              <w:t xml:space="preserve">  </w:t>
            </w:r>
            <w:r w:rsidRPr="00C15407">
              <w:rPr>
                <w:rStyle w:val="Hyperlink"/>
                <w:noProof/>
              </w:rPr>
              <w:t>Equality and Human Rights Screening</w:t>
            </w:r>
            <w:r>
              <w:rPr>
                <w:noProof/>
                <w:webHidden/>
              </w:rPr>
              <w:tab/>
            </w:r>
            <w:r>
              <w:rPr>
                <w:noProof/>
                <w:webHidden/>
              </w:rPr>
              <w:fldChar w:fldCharType="begin"/>
            </w:r>
            <w:r>
              <w:rPr>
                <w:noProof/>
                <w:webHidden/>
              </w:rPr>
              <w:instrText xml:space="preserve"> PAGEREF _Toc150869258 \h </w:instrText>
            </w:r>
            <w:r>
              <w:rPr>
                <w:noProof/>
                <w:webHidden/>
              </w:rPr>
            </w:r>
            <w:r>
              <w:rPr>
                <w:noProof/>
                <w:webHidden/>
              </w:rPr>
              <w:fldChar w:fldCharType="separate"/>
            </w:r>
            <w:r>
              <w:rPr>
                <w:noProof/>
                <w:webHidden/>
              </w:rPr>
              <w:t>11</w:t>
            </w:r>
            <w:r>
              <w:rPr>
                <w:noProof/>
                <w:webHidden/>
              </w:rPr>
              <w:fldChar w:fldCharType="end"/>
            </w:r>
          </w:hyperlink>
        </w:p>
        <w:p w:rsidR="000B654A" w:rsidRDefault="007902A1" w:rsidP="000B654A">
          <w:r>
            <w:fldChar w:fldCharType="end"/>
          </w:r>
        </w:p>
      </w:sdtContent>
    </w:sdt>
    <w:p w:rsidR="008A6DBD" w:rsidRDefault="007902A1">
      <w:pPr>
        <w:tabs>
          <w:tab w:val="center" w:pos="2702"/>
          <w:tab w:val="center" w:pos="7272"/>
        </w:tabs>
        <w:spacing w:after="4" w:line="254" w:lineRule="auto"/>
        <w:ind w:left="0" w:firstLine="0"/>
      </w:pPr>
      <w:r>
        <w:rPr>
          <w:b/>
        </w:rPr>
        <w:tab/>
      </w:r>
      <w:r>
        <w:rPr>
          <w:b/>
        </w:rPr>
        <w:tab/>
        <w:t xml:space="preserve"> </w:t>
      </w:r>
    </w:p>
    <w:p w:rsidR="000B654A" w:rsidRDefault="000B654A">
      <w:pPr>
        <w:spacing w:after="0" w:line="259" w:lineRule="auto"/>
        <w:ind w:firstLine="0"/>
        <w:rPr>
          <w:b/>
        </w:rPr>
      </w:pPr>
    </w:p>
    <w:p w:rsidR="008A6DBD" w:rsidRDefault="007902A1">
      <w:pPr>
        <w:spacing w:after="0" w:line="259" w:lineRule="auto"/>
        <w:ind w:firstLine="0"/>
      </w:pPr>
      <w:r>
        <w:rPr>
          <w:b/>
        </w:rPr>
        <w:tab/>
        <w:t xml:space="preserve"> </w:t>
      </w:r>
    </w:p>
    <w:p w:rsidR="008A6DBD" w:rsidRDefault="007902A1">
      <w:pPr>
        <w:tabs>
          <w:tab w:val="center" w:pos="4242"/>
          <w:tab w:val="center" w:pos="7427"/>
        </w:tabs>
        <w:spacing w:after="4" w:line="254" w:lineRule="auto"/>
        <w:ind w:left="0" w:firstLine="0"/>
      </w:pPr>
      <w:r>
        <w:rPr>
          <w:b/>
        </w:rPr>
        <w:t xml:space="preserve">Appendix 1 </w:t>
      </w:r>
      <w:r>
        <w:rPr>
          <w:b/>
        </w:rPr>
        <w:tab/>
        <w:t xml:space="preserve">Relevant Legislative Compliance, </w:t>
      </w:r>
      <w:r>
        <w:rPr>
          <w:b/>
        </w:rPr>
        <w:tab/>
      </w:r>
      <w:r w:rsidR="000B654A">
        <w:rPr>
          <w:b/>
        </w:rPr>
        <w:tab/>
        <w:t xml:space="preserve">    </w:t>
      </w:r>
      <w:r>
        <w:rPr>
          <w:b/>
        </w:rPr>
        <w:t xml:space="preserve">12 </w:t>
      </w:r>
    </w:p>
    <w:p w:rsidR="00D334AC" w:rsidRDefault="007902A1">
      <w:pPr>
        <w:tabs>
          <w:tab w:val="center" w:pos="4358"/>
          <w:tab w:val="center" w:pos="7272"/>
        </w:tabs>
        <w:spacing w:after="4" w:line="254" w:lineRule="auto"/>
        <w:ind w:left="0" w:firstLine="0"/>
        <w:rPr>
          <w:b/>
        </w:rPr>
      </w:pPr>
      <w:r>
        <w:rPr>
          <w:rFonts w:ascii="Calibri" w:eastAsia="Calibri" w:hAnsi="Calibri" w:cs="Calibri"/>
          <w:sz w:val="22"/>
        </w:rPr>
        <w:tab/>
      </w:r>
      <w:r>
        <w:rPr>
          <w:b/>
        </w:rPr>
        <w:t xml:space="preserve">Standards, Guidelines and Policies </w:t>
      </w:r>
      <w:r>
        <w:rPr>
          <w:b/>
        </w:rPr>
        <w:tab/>
      </w:r>
    </w:p>
    <w:p w:rsidR="00D334AC" w:rsidRDefault="00D334AC">
      <w:pPr>
        <w:tabs>
          <w:tab w:val="center" w:pos="4358"/>
          <w:tab w:val="center" w:pos="7272"/>
        </w:tabs>
        <w:spacing w:after="4" w:line="254" w:lineRule="auto"/>
        <w:ind w:left="0" w:firstLine="0"/>
        <w:rPr>
          <w:b/>
        </w:rPr>
      </w:pPr>
    </w:p>
    <w:p w:rsidR="008A6DBD" w:rsidRDefault="00D334AC">
      <w:pPr>
        <w:tabs>
          <w:tab w:val="center" w:pos="4358"/>
          <w:tab w:val="center" w:pos="7272"/>
        </w:tabs>
        <w:spacing w:after="4" w:line="254" w:lineRule="auto"/>
        <w:ind w:left="0" w:firstLine="0"/>
      </w:pPr>
      <w:r>
        <w:rPr>
          <w:b/>
        </w:rPr>
        <w:t>Version Control</w:t>
      </w:r>
      <w:r>
        <w:rPr>
          <w:b/>
        </w:rPr>
        <w:tab/>
      </w:r>
      <w:r>
        <w:rPr>
          <w:b/>
        </w:rPr>
        <w:tab/>
        <w:t xml:space="preserve">                            14</w:t>
      </w:r>
      <w:r>
        <w:rPr>
          <w:b/>
        </w:rPr>
        <w:tab/>
      </w:r>
      <w:r>
        <w:rPr>
          <w:b/>
        </w:rPr>
        <w:tab/>
      </w:r>
      <w:r>
        <w:rPr>
          <w:b/>
        </w:rPr>
        <w:tab/>
      </w:r>
      <w:r>
        <w:rPr>
          <w:b/>
        </w:rPr>
        <w:tab/>
      </w:r>
      <w:r>
        <w:rPr>
          <w:b/>
        </w:rPr>
        <w:tab/>
      </w:r>
      <w:r w:rsidR="007902A1">
        <w:rPr>
          <w:b/>
        </w:rPr>
        <w:t xml:space="preserve"> </w:t>
      </w:r>
    </w:p>
    <w:p w:rsidR="008A6DBD" w:rsidRDefault="00F50BE3" w:rsidP="00F50BE3">
      <w:pPr>
        <w:tabs>
          <w:tab w:val="left" w:pos="4129"/>
          <w:tab w:val="right" w:pos="7343"/>
        </w:tabs>
        <w:spacing w:after="0" w:line="259" w:lineRule="auto"/>
        <w:ind w:left="0" w:right="1232" w:firstLine="0"/>
      </w:pPr>
      <w:r>
        <w:rPr>
          <w:b/>
        </w:rPr>
        <w:tab/>
      </w:r>
      <w:r>
        <w:rPr>
          <w:b/>
        </w:rPr>
        <w:tab/>
      </w:r>
      <w:r w:rsidR="007902A1">
        <w:rPr>
          <w:b/>
        </w:rPr>
        <w:t xml:space="preserve"> </w:t>
      </w:r>
    </w:p>
    <w:p w:rsidR="000B654A" w:rsidRDefault="000B654A">
      <w:pPr>
        <w:spacing w:after="160" w:line="259" w:lineRule="auto"/>
        <w:ind w:left="0" w:firstLine="0"/>
        <w:rPr>
          <w:b/>
        </w:rPr>
      </w:pPr>
      <w:bookmarkStart w:id="0" w:name="_GoBack"/>
      <w:bookmarkEnd w:id="0"/>
      <w:r>
        <w:rPr>
          <w:b/>
        </w:rPr>
        <w:br w:type="page"/>
      </w:r>
    </w:p>
    <w:p w:rsidR="008A6DBD" w:rsidRDefault="007902A1">
      <w:pPr>
        <w:pStyle w:val="Heading1"/>
        <w:tabs>
          <w:tab w:val="center" w:pos="1650"/>
        </w:tabs>
        <w:ind w:left="0" w:firstLine="0"/>
      </w:pPr>
      <w:bookmarkStart w:id="1" w:name="_Toc150869249"/>
      <w:r>
        <w:lastRenderedPageBreak/>
        <w:t xml:space="preserve">1. </w:t>
      </w:r>
      <w:r>
        <w:tab/>
        <w:t xml:space="preserve"> Introduction</w:t>
      </w:r>
      <w:bookmarkEnd w:id="1"/>
      <w:r>
        <w:t xml:space="preserve">  </w:t>
      </w:r>
    </w:p>
    <w:p w:rsidR="008A6DBD" w:rsidRDefault="007902A1">
      <w:pPr>
        <w:spacing w:after="0" w:line="259" w:lineRule="auto"/>
        <w:ind w:firstLine="0"/>
      </w:pPr>
      <w:r>
        <w:rPr>
          <w:rFonts w:ascii="Tahoma" w:eastAsia="Tahoma" w:hAnsi="Tahoma" w:cs="Tahoma"/>
        </w:rPr>
        <w:t xml:space="preserve"> </w:t>
      </w:r>
    </w:p>
    <w:p w:rsidR="008A6DBD" w:rsidRDefault="008A6DBD">
      <w:pPr>
        <w:spacing w:after="0" w:line="259" w:lineRule="auto"/>
        <w:ind w:firstLine="0"/>
      </w:pPr>
      <w:bookmarkStart w:id="2" w:name="_Hlk150863391"/>
    </w:p>
    <w:p w:rsidR="008A6DBD" w:rsidRDefault="007902A1">
      <w:pPr>
        <w:ind w:left="61"/>
      </w:pPr>
      <w:r>
        <w:t xml:space="preserve">This Records Management Policy: </w:t>
      </w:r>
    </w:p>
    <w:p w:rsidR="008A6DBD" w:rsidRDefault="007902A1">
      <w:pPr>
        <w:numPr>
          <w:ilvl w:val="0"/>
          <w:numId w:val="1"/>
        </w:numPr>
        <w:ind w:hanging="360"/>
      </w:pPr>
      <w:r>
        <w:t xml:space="preserve">Sets out the requirements that must be met for the records of the PHA to be considered as a proper record of the activity of the PHA; </w:t>
      </w:r>
    </w:p>
    <w:p w:rsidR="008A6DBD" w:rsidRDefault="007902A1">
      <w:pPr>
        <w:numPr>
          <w:ilvl w:val="0"/>
          <w:numId w:val="1"/>
        </w:numPr>
        <w:ind w:hanging="360"/>
      </w:pPr>
      <w:r>
        <w:t xml:space="preserve">Outlines the requirements for a PHA records management system and processes; </w:t>
      </w:r>
    </w:p>
    <w:p w:rsidR="008A6DBD" w:rsidRDefault="007902A1">
      <w:pPr>
        <w:numPr>
          <w:ilvl w:val="0"/>
          <w:numId w:val="1"/>
        </w:numPr>
        <w:ind w:hanging="360"/>
      </w:pPr>
      <w:r>
        <w:t xml:space="preserve">Should be considered alongside the Department of Health publication Good Management Good Records (GMGR) </w:t>
      </w:r>
      <w:r w:rsidR="000B654A">
        <w:t xml:space="preserve">2017 </w:t>
      </w:r>
      <w:r>
        <w:t xml:space="preserve">which has been officially adopted as the PHA Retention and Disposal Schedule; </w:t>
      </w:r>
    </w:p>
    <w:p w:rsidR="008A6DBD" w:rsidRDefault="007902A1">
      <w:pPr>
        <w:numPr>
          <w:ilvl w:val="0"/>
          <w:numId w:val="1"/>
        </w:numPr>
        <w:ind w:hanging="360"/>
      </w:pPr>
      <w:r>
        <w:t xml:space="preserve">Highlights the quality and reliability standards which must be maintained to provide a valuable information and knowledge resource for the PHA; </w:t>
      </w:r>
    </w:p>
    <w:p w:rsidR="008A6DBD" w:rsidRDefault="007902A1">
      <w:pPr>
        <w:numPr>
          <w:ilvl w:val="0"/>
          <w:numId w:val="1"/>
        </w:numPr>
        <w:ind w:hanging="360"/>
      </w:pPr>
      <w:r>
        <w:t>Sets out the arrangements for monitoring compliance</w:t>
      </w:r>
      <w:r w:rsidR="00ED5635">
        <w:t>.</w:t>
      </w:r>
      <w:r>
        <w:t xml:space="preserve">  </w:t>
      </w:r>
    </w:p>
    <w:p w:rsidR="008A6DBD" w:rsidRDefault="007902A1">
      <w:pPr>
        <w:spacing w:after="29" w:line="259" w:lineRule="auto"/>
        <w:ind w:left="436" w:firstLine="0"/>
      </w:pPr>
      <w:r>
        <w:t xml:space="preserve"> </w:t>
      </w:r>
    </w:p>
    <w:p w:rsidR="008A6DBD" w:rsidRDefault="007902A1" w:rsidP="00B4002C">
      <w:pPr>
        <w:spacing w:line="261" w:lineRule="auto"/>
        <w:ind w:left="61" w:firstLine="0"/>
      </w:pPr>
      <w:r>
        <w:t xml:space="preserve">It </w:t>
      </w:r>
      <w:r>
        <w:rPr>
          <w:rFonts w:ascii="Tahoma" w:eastAsia="Tahoma" w:hAnsi="Tahoma" w:cs="Tahoma"/>
        </w:rPr>
        <w:t xml:space="preserve">relates to all corporate, clinical and non-clinical operational records held in any format by the Public Health Agency as detailed in the Department of Health publication </w:t>
      </w:r>
      <w:r>
        <w:rPr>
          <w:rFonts w:ascii="Tahoma" w:eastAsia="Tahoma" w:hAnsi="Tahoma" w:cs="Tahoma"/>
          <w:sz w:val="29"/>
        </w:rPr>
        <w:t xml:space="preserve">Good Management Good Records (GMGR) November </w:t>
      </w:r>
      <w:r w:rsidR="000B654A">
        <w:rPr>
          <w:rFonts w:ascii="Tahoma" w:eastAsia="Tahoma" w:hAnsi="Tahoma" w:cs="Tahoma"/>
          <w:sz w:val="29"/>
        </w:rPr>
        <w:t xml:space="preserve">2017 </w:t>
      </w:r>
      <w:r>
        <w:rPr>
          <w:rFonts w:ascii="Tahoma" w:eastAsia="Tahoma" w:hAnsi="Tahoma" w:cs="Tahoma"/>
          <w:sz w:val="29"/>
        </w:rPr>
        <w:t xml:space="preserve"> </w:t>
      </w:r>
      <w:r>
        <w:rPr>
          <w:rFonts w:ascii="Tahoma" w:eastAsia="Tahoma" w:hAnsi="Tahoma" w:cs="Tahoma"/>
          <w:sz w:val="29"/>
          <w:vertAlign w:val="superscript"/>
        </w:rPr>
        <w:footnoteReference w:id="1"/>
      </w:r>
      <w:r>
        <w:rPr>
          <w:rFonts w:ascii="Tahoma" w:eastAsia="Tahoma" w:hAnsi="Tahoma" w:cs="Tahoma"/>
          <w:sz w:val="29"/>
        </w:rPr>
        <w:t xml:space="preserve">. </w:t>
      </w:r>
    </w:p>
    <w:bookmarkEnd w:id="2"/>
    <w:p w:rsidR="008A6DBD" w:rsidRDefault="007902A1">
      <w:pPr>
        <w:spacing w:after="0" w:line="259" w:lineRule="auto"/>
        <w:ind w:left="56" w:firstLine="0"/>
      </w:pPr>
      <w:r>
        <w:rPr>
          <w:rFonts w:ascii="Tahoma" w:eastAsia="Tahoma" w:hAnsi="Tahoma" w:cs="Tahoma"/>
          <w:sz w:val="29"/>
        </w:rPr>
        <w:t xml:space="preserve"> </w:t>
      </w:r>
    </w:p>
    <w:p w:rsidR="008A6DBD" w:rsidRDefault="007902A1">
      <w:pPr>
        <w:spacing w:after="0" w:line="235" w:lineRule="auto"/>
        <w:ind w:left="41"/>
        <w:rPr>
          <w:rFonts w:ascii="Tahoma" w:eastAsia="Tahoma" w:hAnsi="Tahoma" w:cs="Tahoma"/>
          <w:sz w:val="29"/>
        </w:rPr>
      </w:pPr>
      <w:r>
        <w:rPr>
          <w:rFonts w:ascii="Tahoma" w:eastAsia="Tahoma" w:hAnsi="Tahoma" w:cs="Tahoma"/>
          <w:sz w:val="29"/>
        </w:rPr>
        <w:t xml:space="preserve">The Policy is supplemented by detailed procedures, as set out in Section 5.   </w:t>
      </w:r>
    </w:p>
    <w:p w:rsidR="00B4002C" w:rsidRDefault="00B4002C">
      <w:pPr>
        <w:spacing w:after="0" w:line="235" w:lineRule="auto"/>
        <w:ind w:left="41"/>
      </w:pPr>
    </w:p>
    <w:p w:rsidR="00B4002C" w:rsidRDefault="00B4002C">
      <w:pPr>
        <w:spacing w:after="0" w:line="235" w:lineRule="auto"/>
        <w:ind w:left="41"/>
      </w:pPr>
    </w:p>
    <w:p w:rsidR="008A6DBD" w:rsidRDefault="007902A1">
      <w:pPr>
        <w:spacing w:after="0" w:line="259" w:lineRule="auto"/>
        <w:ind w:firstLine="0"/>
      </w:pPr>
      <w:r>
        <w:t xml:space="preserve"> </w:t>
      </w:r>
    </w:p>
    <w:p w:rsidR="008A6DBD" w:rsidRDefault="007902A1">
      <w:pPr>
        <w:pStyle w:val="Heading1"/>
        <w:ind w:left="71"/>
      </w:pPr>
      <w:bookmarkStart w:id="3" w:name="_Toc150869250"/>
      <w:r>
        <w:t>2.  Policy Statement</w:t>
      </w:r>
      <w:bookmarkEnd w:id="3"/>
      <w:r>
        <w:t xml:space="preserve">  </w:t>
      </w:r>
    </w:p>
    <w:p w:rsidR="008A6DBD" w:rsidRDefault="007902A1">
      <w:pPr>
        <w:spacing w:after="0" w:line="259" w:lineRule="auto"/>
        <w:ind w:firstLine="0"/>
      </w:pPr>
      <w:r>
        <w:rPr>
          <w:b/>
        </w:rPr>
        <w:t xml:space="preserve"> </w:t>
      </w:r>
    </w:p>
    <w:p w:rsidR="008A6DBD" w:rsidRDefault="007902A1">
      <w:pPr>
        <w:ind w:left="61"/>
      </w:pPr>
      <w:r>
        <w:t xml:space="preserve">Information is a corporate asset and the records of the PHA are important sources of information including patient/client, administrative, financial, legal, evidential and historical information. </w:t>
      </w:r>
    </w:p>
    <w:p w:rsidR="008A6DBD" w:rsidRDefault="007902A1">
      <w:pPr>
        <w:ind w:left="61"/>
      </w:pPr>
      <w:r>
        <w:t xml:space="preserve">They are vital to the PHA in its current and future work, for the purposes of accountability, and for an awareness and understanding of its history. They are the corporate memory of the PHA.   </w:t>
      </w:r>
    </w:p>
    <w:p w:rsidR="00F50BE3" w:rsidRDefault="00F50BE3">
      <w:pPr>
        <w:ind w:left="61"/>
      </w:pPr>
    </w:p>
    <w:p w:rsidR="008A6DBD" w:rsidRDefault="007902A1">
      <w:pPr>
        <w:ind w:left="61"/>
      </w:pPr>
      <w:r>
        <w:lastRenderedPageBreak/>
        <w:t xml:space="preserve">The PHA will create, use, manage and destroy or preserve its records in accordance with all statutory requirements. </w:t>
      </w:r>
    </w:p>
    <w:p w:rsidR="008A6DBD" w:rsidRDefault="007902A1">
      <w:pPr>
        <w:spacing w:after="0" w:line="259" w:lineRule="auto"/>
        <w:ind w:firstLine="0"/>
      </w:pPr>
      <w:r>
        <w:t xml:space="preserve"> </w:t>
      </w:r>
    </w:p>
    <w:p w:rsidR="008A6DBD" w:rsidRDefault="007902A1">
      <w:pPr>
        <w:ind w:left="61"/>
      </w:pPr>
      <w:r>
        <w:t xml:space="preserve">Systematic records management is fundamental to the PHA’s efficiency. It ensures that the correct information is: </w:t>
      </w:r>
    </w:p>
    <w:p w:rsidR="008A6DBD" w:rsidRDefault="007902A1">
      <w:pPr>
        <w:spacing w:after="0" w:line="259" w:lineRule="auto"/>
        <w:ind w:firstLine="0"/>
      </w:pPr>
      <w:r>
        <w:t xml:space="preserve"> </w:t>
      </w:r>
    </w:p>
    <w:p w:rsidR="008A6DBD" w:rsidRDefault="007902A1">
      <w:pPr>
        <w:numPr>
          <w:ilvl w:val="0"/>
          <w:numId w:val="2"/>
        </w:numPr>
        <w:ind w:hanging="360"/>
      </w:pPr>
      <w:r>
        <w:t xml:space="preserve">captured, stored, retrieved and destroyed or preserved according to need; </w:t>
      </w:r>
    </w:p>
    <w:p w:rsidR="008A6DBD" w:rsidRDefault="007902A1">
      <w:pPr>
        <w:spacing w:after="0" w:line="259" w:lineRule="auto"/>
        <w:ind w:left="436" w:firstLine="0"/>
      </w:pPr>
      <w:r>
        <w:t xml:space="preserve"> </w:t>
      </w:r>
    </w:p>
    <w:p w:rsidR="008A6DBD" w:rsidRDefault="007902A1">
      <w:pPr>
        <w:numPr>
          <w:ilvl w:val="0"/>
          <w:numId w:val="2"/>
        </w:numPr>
        <w:ind w:hanging="360"/>
      </w:pPr>
      <w:r>
        <w:t xml:space="preserve">fully utilised to meet current and future needs, and to support change; </w:t>
      </w:r>
    </w:p>
    <w:p w:rsidR="008A6DBD" w:rsidRDefault="007902A1">
      <w:pPr>
        <w:spacing w:after="0" w:line="259" w:lineRule="auto"/>
        <w:ind w:left="436" w:firstLine="0"/>
      </w:pPr>
      <w:r>
        <w:t xml:space="preserve"> </w:t>
      </w:r>
    </w:p>
    <w:p w:rsidR="008A6DBD" w:rsidRDefault="007902A1">
      <w:pPr>
        <w:numPr>
          <w:ilvl w:val="0"/>
          <w:numId w:val="2"/>
        </w:numPr>
        <w:ind w:hanging="360"/>
      </w:pPr>
      <w:r>
        <w:t xml:space="preserve">accessible to those who need to make use of it; and that the appropriate technical, organisational and human resource elements exist to make this possible. </w:t>
      </w:r>
    </w:p>
    <w:p w:rsidR="008A6DBD" w:rsidRDefault="007902A1">
      <w:pPr>
        <w:spacing w:after="0" w:line="259" w:lineRule="auto"/>
        <w:ind w:left="436" w:firstLine="0"/>
      </w:pPr>
      <w:r>
        <w:t xml:space="preserve"> </w:t>
      </w:r>
    </w:p>
    <w:p w:rsidR="008A6DBD" w:rsidRDefault="007902A1">
      <w:pPr>
        <w:pStyle w:val="Heading1"/>
        <w:tabs>
          <w:tab w:val="center" w:pos="1137"/>
        </w:tabs>
        <w:ind w:left="0" w:firstLine="0"/>
      </w:pPr>
      <w:bookmarkStart w:id="4" w:name="_Toc150869251"/>
      <w:r>
        <w:t xml:space="preserve">3. </w:t>
      </w:r>
      <w:r w:rsidR="00ED5635">
        <w:t xml:space="preserve">  </w:t>
      </w:r>
      <w:r>
        <w:t>Aims</w:t>
      </w:r>
      <w:bookmarkEnd w:id="4"/>
      <w:r>
        <w:t xml:space="preserve">  </w:t>
      </w:r>
    </w:p>
    <w:p w:rsidR="008A6DBD" w:rsidRDefault="007902A1">
      <w:pPr>
        <w:spacing w:after="0" w:line="259" w:lineRule="auto"/>
        <w:ind w:left="0" w:firstLine="0"/>
      </w:pPr>
      <w:r>
        <w:rPr>
          <w:b/>
        </w:rPr>
        <w:t xml:space="preserve"> </w:t>
      </w:r>
    </w:p>
    <w:p w:rsidR="008A6DBD" w:rsidRDefault="007902A1">
      <w:pPr>
        <w:ind w:left="61"/>
      </w:pPr>
      <w:r>
        <w:t xml:space="preserve">The records management system aims to ensure: </w:t>
      </w:r>
    </w:p>
    <w:p w:rsidR="008A6DBD" w:rsidRDefault="007902A1">
      <w:pPr>
        <w:spacing w:after="26" w:line="259" w:lineRule="auto"/>
        <w:ind w:firstLine="0"/>
      </w:pPr>
      <w:r>
        <w:t xml:space="preserve"> </w:t>
      </w:r>
    </w:p>
    <w:p w:rsidR="008A6DBD" w:rsidRDefault="007902A1">
      <w:pPr>
        <w:numPr>
          <w:ilvl w:val="0"/>
          <w:numId w:val="3"/>
        </w:numPr>
        <w:spacing w:line="261" w:lineRule="auto"/>
        <w:ind w:hanging="360"/>
      </w:pPr>
      <w:r>
        <w:t xml:space="preserve">a consistent </w:t>
      </w:r>
      <w:r>
        <w:rPr>
          <w:rFonts w:ascii="Tahoma" w:eastAsia="Tahoma" w:hAnsi="Tahoma" w:cs="Tahoma"/>
        </w:rPr>
        <w:t>systematic and planned approach to records management covering records from creation to disposal;</w:t>
      </w:r>
      <w:r>
        <w:rPr>
          <w:b/>
        </w:rPr>
        <w:t xml:space="preserve"> </w:t>
      </w:r>
    </w:p>
    <w:p w:rsidR="008A6DBD" w:rsidRDefault="007902A1">
      <w:pPr>
        <w:spacing w:after="34" w:line="259" w:lineRule="auto"/>
        <w:ind w:left="436" w:firstLine="0"/>
      </w:pPr>
      <w:r>
        <w:rPr>
          <w:b/>
        </w:rPr>
        <w:t xml:space="preserve"> </w:t>
      </w:r>
    </w:p>
    <w:p w:rsidR="008A6DBD" w:rsidRDefault="007902A1">
      <w:pPr>
        <w:numPr>
          <w:ilvl w:val="0"/>
          <w:numId w:val="3"/>
        </w:numPr>
        <w:spacing w:line="261" w:lineRule="auto"/>
        <w:ind w:hanging="360"/>
      </w:pPr>
      <w:r>
        <w:rPr>
          <w:rFonts w:ascii="Tahoma" w:eastAsia="Tahoma" w:hAnsi="Tahoma" w:cs="Tahoma"/>
        </w:rPr>
        <w:t xml:space="preserve">compliance with statutory requirements and to increase efficiency by improving the flow of information, and greater coordination of records and storage systems; </w:t>
      </w:r>
      <w:r>
        <w:rPr>
          <w:b/>
        </w:rPr>
        <w:t xml:space="preserve"> </w:t>
      </w:r>
    </w:p>
    <w:p w:rsidR="008A6DBD" w:rsidRDefault="007902A1">
      <w:pPr>
        <w:spacing w:after="33" w:line="259" w:lineRule="auto"/>
        <w:ind w:firstLine="0"/>
      </w:pPr>
      <w:r>
        <w:rPr>
          <w:b/>
        </w:rPr>
        <w:t xml:space="preserve"> </w:t>
      </w:r>
    </w:p>
    <w:p w:rsidR="008A6DBD" w:rsidRDefault="007902A1">
      <w:pPr>
        <w:numPr>
          <w:ilvl w:val="0"/>
          <w:numId w:val="3"/>
        </w:numPr>
        <w:spacing w:line="261" w:lineRule="auto"/>
        <w:ind w:hanging="360"/>
      </w:pPr>
      <w:r>
        <w:rPr>
          <w:rFonts w:ascii="Tahoma" w:eastAsia="Tahoma" w:hAnsi="Tahoma" w:cs="Tahoma"/>
        </w:rPr>
        <w:t>awareness of the importance of records management and the need for responsibility and accountability at all levels.</w:t>
      </w:r>
      <w:r>
        <w:rPr>
          <w:b/>
        </w:rPr>
        <w:t xml:space="preserve"> </w:t>
      </w:r>
    </w:p>
    <w:p w:rsidR="008A6DBD" w:rsidRDefault="007902A1">
      <w:pPr>
        <w:spacing w:after="0" w:line="259" w:lineRule="auto"/>
        <w:ind w:firstLine="0"/>
      </w:pPr>
      <w:r>
        <w:rPr>
          <w:b/>
        </w:rPr>
        <w:t xml:space="preserve"> </w:t>
      </w:r>
    </w:p>
    <w:p w:rsidR="008A6DBD" w:rsidRDefault="007902A1">
      <w:pPr>
        <w:ind w:left="61"/>
      </w:pPr>
      <w:r>
        <w:t xml:space="preserve">All staff of the PHA who create, use, manage or dispose of records have a duty to protect them and to ensure that any information that they add to the record is necessary, accurate and complete. Confidentiality must always be of primary concern to PHA staff. Appropriate training and guidance will be provided on the management of records. </w:t>
      </w:r>
    </w:p>
    <w:p w:rsidR="008A6DBD" w:rsidRDefault="007902A1">
      <w:pPr>
        <w:spacing w:after="0" w:line="259" w:lineRule="auto"/>
        <w:ind w:firstLine="0"/>
      </w:pPr>
      <w:r>
        <w:t xml:space="preserve"> </w:t>
      </w:r>
    </w:p>
    <w:p w:rsidR="008A6DBD" w:rsidRDefault="007902A1">
      <w:pPr>
        <w:spacing w:after="0" w:line="259" w:lineRule="auto"/>
        <w:ind w:firstLine="0"/>
      </w:pPr>
      <w:r>
        <w:t xml:space="preserve"> </w:t>
      </w:r>
    </w:p>
    <w:p w:rsidR="008A6DBD" w:rsidRDefault="007902A1">
      <w:pPr>
        <w:pStyle w:val="Heading1"/>
        <w:tabs>
          <w:tab w:val="center" w:pos="1215"/>
        </w:tabs>
        <w:ind w:left="0" w:firstLine="0"/>
      </w:pPr>
      <w:bookmarkStart w:id="5" w:name="_Toc150869252"/>
      <w:r>
        <w:lastRenderedPageBreak/>
        <w:t xml:space="preserve">4. </w:t>
      </w:r>
      <w:r>
        <w:tab/>
        <w:t>Scope</w:t>
      </w:r>
      <w:bookmarkEnd w:id="5"/>
      <w:r>
        <w:t xml:space="preserve"> </w:t>
      </w:r>
    </w:p>
    <w:p w:rsidR="008A6DBD" w:rsidRDefault="007902A1">
      <w:pPr>
        <w:spacing w:after="12" w:line="259" w:lineRule="auto"/>
        <w:ind w:firstLine="0"/>
      </w:pPr>
      <w:r>
        <w:t xml:space="preserve"> </w:t>
      </w:r>
    </w:p>
    <w:p w:rsidR="008A6DBD" w:rsidRDefault="007902A1">
      <w:pPr>
        <w:spacing w:line="261" w:lineRule="auto"/>
        <w:ind w:left="61" w:firstLine="0"/>
      </w:pPr>
      <w:r>
        <w:t xml:space="preserve">The Records Management Policy </w:t>
      </w:r>
      <w:r>
        <w:rPr>
          <w:rFonts w:ascii="Tahoma" w:eastAsia="Tahoma" w:hAnsi="Tahoma" w:cs="Tahoma"/>
        </w:rPr>
        <w:t>should be read in conjunction with other relevant PHA governance policies and documents including:</w:t>
      </w:r>
      <w:r>
        <w:t xml:space="preserve"> </w:t>
      </w:r>
    </w:p>
    <w:p w:rsidR="008A6DBD" w:rsidRDefault="007902A1">
      <w:pPr>
        <w:spacing w:after="0" w:line="259" w:lineRule="auto"/>
        <w:ind w:firstLine="0"/>
      </w:pPr>
      <w:r>
        <w:t xml:space="preserve"> </w:t>
      </w:r>
    </w:p>
    <w:p w:rsidR="008A6DBD" w:rsidRDefault="007902A1">
      <w:pPr>
        <w:numPr>
          <w:ilvl w:val="0"/>
          <w:numId w:val="4"/>
        </w:numPr>
        <w:ind w:hanging="360"/>
      </w:pPr>
      <w:r>
        <w:t xml:space="preserve">PHA Information Governance Strategy and Information Governance Framework </w:t>
      </w:r>
    </w:p>
    <w:p w:rsidR="008A6DBD" w:rsidRDefault="007902A1">
      <w:pPr>
        <w:numPr>
          <w:ilvl w:val="0"/>
          <w:numId w:val="4"/>
        </w:numPr>
        <w:ind w:hanging="360"/>
      </w:pPr>
      <w:r>
        <w:t xml:space="preserve">PHA Data Protection and Confidentiality Policy </w:t>
      </w:r>
    </w:p>
    <w:p w:rsidR="008A6DBD" w:rsidRDefault="007902A1">
      <w:pPr>
        <w:numPr>
          <w:ilvl w:val="0"/>
          <w:numId w:val="4"/>
        </w:numPr>
        <w:ind w:hanging="360"/>
      </w:pPr>
      <w:r>
        <w:t xml:space="preserve">Data Breach Incident Response policy </w:t>
      </w:r>
    </w:p>
    <w:p w:rsidR="008A6DBD" w:rsidRDefault="007902A1">
      <w:pPr>
        <w:numPr>
          <w:ilvl w:val="0"/>
          <w:numId w:val="4"/>
        </w:numPr>
        <w:ind w:hanging="360"/>
      </w:pPr>
      <w:r>
        <w:t xml:space="preserve">PHA Access to Information Policy </w:t>
      </w:r>
    </w:p>
    <w:p w:rsidR="00B4002C" w:rsidRDefault="007902A1">
      <w:pPr>
        <w:numPr>
          <w:ilvl w:val="0"/>
          <w:numId w:val="4"/>
        </w:numPr>
        <w:ind w:hanging="360"/>
      </w:pPr>
      <w:r>
        <w:t xml:space="preserve">PHA ICT Security Policy and Associated Policies   </w:t>
      </w:r>
    </w:p>
    <w:p w:rsidR="008A6DBD" w:rsidRDefault="007902A1">
      <w:pPr>
        <w:numPr>
          <w:ilvl w:val="0"/>
          <w:numId w:val="4"/>
        </w:numPr>
        <w:ind w:hanging="360"/>
      </w:pPr>
      <w:r>
        <w:t xml:space="preserve">Risk Management Policy </w:t>
      </w:r>
    </w:p>
    <w:p w:rsidR="008A6DBD" w:rsidRDefault="00B4002C">
      <w:pPr>
        <w:numPr>
          <w:ilvl w:val="0"/>
          <w:numId w:val="4"/>
        </w:numPr>
        <w:ind w:hanging="360"/>
      </w:pPr>
      <w:proofErr w:type="spellStart"/>
      <w:r>
        <w:t>DoH</w:t>
      </w:r>
      <w:proofErr w:type="spellEnd"/>
      <w:r>
        <w:t xml:space="preserve"> </w:t>
      </w:r>
      <w:r w:rsidR="007902A1">
        <w:t>Guidance Document ‘Good Management, Good Records’ (GMGR)</w:t>
      </w:r>
      <w:r>
        <w:t xml:space="preserve"> 2017</w:t>
      </w:r>
      <w:r w:rsidR="007902A1">
        <w:t xml:space="preserve"> </w:t>
      </w:r>
    </w:p>
    <w:p w:rsidR="008A6DBD" w:rsidRDefault="007902A1">
      <w:pPr>
        <w:spacing w:after="0" w:line="259" w:lineRule="auto"/>
        <w:ind w:left="436" w:firstLine="0"/>
      </w:pPr>
      <w:r>
        <w:t xml:space="preserve"> </w:t>
      </w:r>
    </w:p>
    <w:p w:rsidR="008A6DBD" w:rsidRDefault="007902A1">
      <w:pPr>
        <w:spacing w:after="0" w:line="259" w:lineRule="auto"/>
        <w:ind w:firstLine="0"/>
      </w:pPr>
      <w:r>
        <w:t xml:space="preserve"> </w:t>
      </w:r>
    </w:p>
    <w:p w:rsidR="008A6DBD" w:rsidRDefault="007902A1">
      <w:pPr>
        <w:pStyle w:val="Heading1"/>
        <w:ind w:left="71"/>
      </w:pPr>
      <w:bookmarkStart w:id="6" w:name="_Toc150869253"/>
      <w:r>
        <w:t>5.     Records Management Process</w:t>
      </w:r>
      <w:bookmarkEnd w:id="6"/>
      <w:r>
        <w:t xml:space="preserve">  </w:t>
      </w:r>
    </w:p>
    <w:p w:rsidR="008A6DBD" w:rsidRDefault="007902A1">
      <w:pPr>
        <w:spacing w:after="0" w:line="259" w:lineRule="auto"/>
        <w:ind w:firstLine="0"/>
      </w:pPr>
      <w:r>
        <w:t xml:space="preserve"> </w:t>
      </w:r>
    </w:p>
    <w:p w:rsidR="008A6DBD" w:rsidRDefault="007902A1">
      <w:pPr>
        <w:ind w:left="61"/>
      </w:pPr>
      <w:r>
        <w:t xml:space="preserve">Implementing and maintaining an effective records management system depends on the knowledge of what records are held, where they are stored, who manages them, in what format(s) they are made accessible, their relationship to organisational functions and their appropriate and timely disposal.   </w:t>
      </w:r>
    </w:p>
    <w:p w:rsidR="008A6DBD" w:rsidRDefault="007902A1">
      <w:pPr>
        <w:spacing w:after="0" w:line="259" w:lineRule="auto"/>
        <w:ind w:firstLine="0"/>
      </w:pPr>
      <w:r>
        <w:t xml:space="preserve"> </w:t>
      </w:r>
    </w:p>
    <w:p w:rsidR="008A6DBD" w:rsidRDefault="007902A1">
      <w:pPr>
        <w:ind w:left="61"/>
      </w:pPr>
      <w:r>
        <w:t xml:space="preserve">The process includes: </w:t>
      </w:r>
    </w:p>
    <w:p w:rsidR="008A6DBD" w:rsidRDefault="007902A1">
      <w:pPr>
        <w:spacing w:after="0" w:line="259" w:lineRule="auto"/>
        <w:ind w:left="256" w:firstLine="0"/>
      </w:pPr>
      <w:r>
        <w:t xml:space="preserve"> </w:t>
      </w:r>
    </w:p>
    <w:p w:rsidR="008A6DBD" w:rsidRDefault="007902A1">
      <w:pPr>
        <w:numPr>
          <w:ilvl w:val="0"/>
          <w:numId w:val="5"/>
        </w:numPr>
        <w:ind w:hanging="360"/>
      </w:pPr>
      <w:r>
        <w:t xml:space="preserve">Classification of the records into a records management system, with meaningful titles and a consistent reference code. </w:t>
      </w:r>
    </w:p>
    <w:p w:rsidR="008A6DBD" w:rsidRDefault="007902A1">
      <w:pPr>
        <w:spacing w:after="0" w:line="259" w:lineRule="auto"/>
        <w:ind w:left="360" w:firstLine="0"/>
      </w:pPr>
      <w:r>
        <w:t xml:space="preserve"> </w:t>
      </w:r>
    </w:p>
    <w:p w:rsidR="008A6DBD" w:rsidRDefault="007902A1">
      <w:pPr>
        <w:numPr>
          <w:ilvl w:val="0"/>
          <w:numId w:val="5"/>
        </w:numPr>
        <w:ind w:hanging="360"/>
      </w:pPr>
      <w:r>
        <w:t xml:space="preserve">Individuals creating records being responsible for classifying them appropriately and ensuring that they are recorded and maintained correctly. </w:t>
      </w:r>
    </w:p>
    <w:p w:rsidR="008A6DBD" w:rsidRDefault="007902A1">
      <w:pPr>
        <w:spacing w:after="0" w:line="259" w:lineRule="auto"/>
        <w:ind w:firstLine="0"/>
      </w:pPr>
      <w:r>
        <w:t xml:space="preserve"> </w:t>
      </w:r>
    </w:p>
    <w:p w:rsidR="008A6DBD" w:rsidRDefault="007902A1">
      <w:pPr>
        <w:numPr>
          <w:ilvl w:val="0"/>
          <w:numId w:val="5"/>
        </w:numPr>
        <w:ind w:hanging="360"/>
      </w:pPr>
      <w:r>
        <w:t>Having sequences of reference codes that can facilitate both paper and electronic (where appropriate) records to enable tracking and recall, and eventually align with a single PHA records management system</w:t>
      </w:r>
      <w:r w:rsidRPr="00ED5635">
        <w:rPr>
          <w:strike/>
        </w:rPr>
        <w:t>, and that</w:t>
      </w:r>
      <w:r>
        <w:t xml:space="preserve"> </w:t>
      </w:r>
      <w:r w:rsidR="00ED5635">
        <w:rPr>
          <w:color w:val="C00000"/>
        </w:rPr>
        <w:t xml:space="preserve">to </w:t>
      </w:r>
      <w:r>
        <w:t xml:space="preserve">enable tracking and recall of records.  </w:t>
      </w:r>
    </w:p>
    <w:p w:rsidR="008A6DBD" w:rsidRDefault="007902A1" w:rsidP="00F50BE3">
      <w:pPr>
        <w:pStyle w:val="ListParagraph"/>
        <w:numPr>
          <w:ilvl w:val="0"/>
          <w:numId w:val="5"/>
        </w:numPr>
        <w:spacing w:after="0" w:line="259" w:lineRule="auto"/>
        <w:ind w:hanging="370"/>
      </w:pPr>
      <w:r>
        <w:lastRenderedPageBreak/>
        <w:t xml:space="preserve">Checking that the correct records have been allocated to the appropriate reference code and that meaningful titles are used. </w:t>
      </w:r>
    </w:p>
    <w:p w:rsidR="00ED5635" w:rsidRDefault="00ED5635" w:rsidP="00ED5635">
      <w:pPr>
        <w:pStyle w:val="ListParagraph"/>
      </w:pPr>
    </w:p>
    <w:p w:rsidR="008A6DBD" w:rsidRDefault="007902A1">
      <w:pPr>
        <w:numPr>
          <w:ilvl w:val="0"/>
          <w:numId w:val="5"/>
        </w:numPr>
        <w:ind w:hanging="360"/>
      </w:pPr>
      <w:r>
        <w:t xml:space="preserve">Auditing to ensure that the records management system makes sense and records are traceable. </w:t>
      </w:r>
    </w:p>
    <w:p w:rsidR="008A6DBD" w:rsidRDefault="007902A1">
      <w:pPr>
        <w:spacing w:after="0" w:line="259" w:lineRule="auto"/>
        <w:ind w:left="360" w:firstLine="0"/>
      </w:pPr>
      <w:r>
        <w:t xml:space="preserve"> </w:t>
      </w:r>
    </w:p>
    <w:p w:rsidR="008A6DBD" w:rsidRDefault="007902A1">
      <w:pPr>
        <w:numPr>
          <w:ilvl w:val="0"/>
          <w:numId w:val="5"/>
        </w:numPr>
        <w:ind w:hanging="360"/>
      </w:pPr>
      <w:r>
        <w:t xml:space="preserve">Ensuring good records management practice is applied to all files – business/corporate files and patient/client/staff files through all stages of the record cycle from creation to disposal.  All PHA staff have a responsibility to ensure records are retained and ultimately destroyed in accordance with this guidance.  </w:t>
      </w:r>
    </w:p>
    <w:p w:rsidR="008A6DBD" w:rsidRDefault="007902A1">
      <w:pPr>
        <w:spacing w:after="0" w:line="259" w:lineRule="auto"/>
        <w:ind w:left="256" w:firstLine="0"/>
      </w:pPr>
      <w:r>
        <w:t xml:space="preserve"> </w:t>
      </w:r>
    </w:p>
    <w:p w:rsidR="008A6DBD" w:rsidRDefault="007902A1">
      <w:pPr>
        <w:ind w:left="236"/>
      </w:pPr>
      <w:r>
        <w:t xml:space="preserve">The detail of the records management processes </w:t>
      </w:r>
      <w:proofErr w:type="gramStart"/>
      <w:r>
        <w:t>are</w:t>
      </w:r>
      <w:proofErr w:type="gramEnd"/>
      <w:r>
        <w:t xml:space="preserve"> defined in a suite of records management factsheets which outline the procedure for each stage of the record lifecycle.  The procedures relate to records regardless of formats, throughout their lifecycle, from planning and creation through to disposal</w:t>
      </w:r>
      <w:r w:rsidR="00ED5635">
        <w:t>,</w:t>
      </w:r>
      <w:r>
        <w:t xml:space="preserve"> ensuring that all records are kept in an accessible format.  The factsheets have been developed in line with </w:t>
      </w:r>
      <w:r>
        <w:rPr>
          <w:rFonts w:ascii="Tahoma" w:eastAsia="Tahoma" w:hAnsi="Tahoma" w:cs="Tahoma"/>
          <w:sz w:val="29"/>
        </w:rPr>
        <w:t>Good Management Good Records (GMGR)</w:t>
      </w:r>
      <w:r>
        <w:t xml:space="preserve"> and include the following:  </w:t>
      </w:r>
    </w:p>
    <w:p w:rsidR="008A6DBD" w:rsidRDefault="007902A1">
      <w:pPr>
        <w:spacing w:after="0" w:line="259" w:lineRule="auto"/>
        <w:ind w:firstLine="0"/>
      </w:pPr>
      <w:r>
        <w:t xml:space="preserve"> </w:t>
      </w:r>
    </w:p>
    <w:p w:rsidR="008A6DBD" w:rsidRDefault="007902A1">
      <w:pPr>
        <w:numPr>
          <w:ilvl w:val="0"/>
          <w:numId w:val="5"/>
        </w:numPr>
        <w:ind w:hanging="360"/>
      </w:pPr>
      <w:r>
        <w:t xml:space="preserve">File Covers and File Content  </w:t>
      </w:r>
      <w:r>
        <w:tab/>
        <w:t xml:space="preserve"> </w:t>
      </w:r>
      <w:r>
        <w:tab/>
        <w:t xml:space="preserve"> </w:t>
      </w:r>
      <w:r>
        <w:tab/>
        <w:t xml:space="preserve"> </w:t>
      </w:r>
      <w:r>
        <w:tab/>
        <w:t xml:space="preserve"> </w:t>
      </w:r>
    </w:p>
    <w:p w:rsidR="008A6DBD" w:rsidRDefault="007902A1">
      <w:pPr>
        <w:numPr>
          <w:ilvl w:val="0"/>
          <w:numId w:val="5"/>
        </w:numPr>
        <w:ind w:hanging="360"/>
      </w:pPr>
      <w:r>
        <w:t xml:space="preserve">Closing Files </w:t>
      </w:r>
      <w:r>
        <w:tab/>
        <w:t xml:space="preserve"> </w:t>
      </w:r>
      <w:r>
        <w:tab/>
        <w:t xml:space="preserve"> </w:t>
      </w:r>
      <w:r>
        <w:tab/>
        <w:t xml:space="preserve"> </w:t>
      </w:r>
      <w:r>
        <w:tab/>
        <w:t xml:space="preserve"> </w:t>
      </w:r>
      <w:r>
        <w:tab/>
        <w:t xml:space="preserve"> </w:t>
      </w:r>
      <w:r>
        <w:tab/>
        <w:t xml:space="preserve"> </w:t>
      </w:r>
      <w:r>
        <w:tab/>
        <w:t xml:space="preserve"> </w:t>
      </w:r>
    </w:p>
    <w:p w:rsidR="008A6DBD" w:rsidRDefault="007902A1">
      <w:pPr>
        <w:numPr>
          <w:ilvl w:val="0"/>
          <w:numId w:val="5"/>
        </w:numPr>
        <w:ind w:hanging="360"/>
      </w:pPr>
      <w:r>
        <w:t xml:space="preserve">Disposal of Records </w:t>
      </w:r>
    </w:p>
    <w:p w:rsidR="008A6DBD" w:rsidRDefault="007902A1">
      <w:pPr>
        <w:numPr>
          <w:ilvl w:val="0"/>
          <w:numId w:val="5"/>
        </w:numPr>
        <w:ind w:hanging="360"/>
      </w:pPr>
      <w:r>
        <w:t xml:space="preserve">Contemporaneous Notes and Marginalia </w:t>
      </w:r>
      <w:r>
        <w:tab/>
        <w:t xml:space="preserve"> </w:t>
      </w:r>
      <w:r>
        <w:tab/>
        <w:t xml:space="preserve"> </w:t>
      </w:r>
    </w:p>
    <w:p w:rsidR="008A6DBD" w:rsidRDefault="007902A1">
      <w:pPr>
        <w:numPr>
          <w:ilvl w:val="0"/>
          <w:numId w:val="5"/>
        </w:numPr>
        <w:ind w:hanging="360"/>
      </w:pPr>
      <w:r>
        <w:t xml:space="preserve">The Use of Folio Numbering and Folio Sheets  </w:t>
      </w:r>
      <w:r>
        <w:tab/>
        <w:t xml:space="preserve"> </w:t>
      </w:r>
    </w:p>
    <w:p w:rsidR="008A6DBD" w:rsidRDefault="007902A1">
      <w:pPr>
        <w:numPr>
          <w:ilvl w:val="0"/>
          <w:numId w:val="5"/>
        </w:numPr>
        <w:ind w:hanging="360"/>
      </w:pPr>
      <w:r>
        <w:t xml:space="preserve">Management of Handwritten Notes / File Notes </w:t>
      </w:r>
    </w:p>
    <w:p w:rsidR="008A6DBD" w:rsidRDefault="007902A1">
      <w:pPr>
        <w:numPr>
          <w:ilvl w:val="0"/>
          <w:numId w:val="5"/>
        </w:numPr>
        <w:ind w:hanging="360"/>
      </w:pPr>
      <w:r>
        <w:t xml:space="preserve">Preparing Agendas and Minutes </w:t>
      </w:r>
      <w:r>
        <w:tab/>
        <w:t xml:space="preserve"> </w:t>
      </w:r>
      <w:r>
        <w:tab/>
        <w:t xml:space="preserve"> </w:t>
      </w:r>
      <w:r>
        <w:tab/>
        <w:t xml:space="preserve"> </w:t>
      </w:r>
      <w:r>
        <w:tab/>
        <w:t xml:space="preserve"> </w:t>
      </w:r>
    </w:p>
    <w:p w:rsidR="008A6DBD" w:rsidRDefault="007902A1">
      <w:pPr>
        <w:numPr>
          <w:ilvl w:val="0"/>
          <w:numId w:val="5"/>
        </w:numPr>
        <w:ind w:hanging="360"/>
      </w:pPr>
      <w:r>
        <w:t xml:space="preserve">Managing Electronic Records including E-mails /File Naming Conventions </w:t>
      </w:r>
    </w:p>
    <w:p w:rsidR="008A6DBD" w:rsidRDefault="007902A1">
      <w:pPr>
        <w:numPr>
          <w:ilvl w:val="0"/>
          <w:numId w:val="5"/>
        </w:numPr>
        <w:ind w:hanging="360"/>
      </w:pPr>
      <w:r>
        <w:t xml:space="preserve">Version Control </w:t>
      </w:r>
    </w:p>
    <w:p w:rsidR="008A6DBD" w:rsidRDefault="007902A1">
      <w:pPr>
        <w:numPr>
          <w:ilvl w:val="0"/>
          <w:numId w:val="5"/>
        </w:numPr>
        <w:ind w:hanging="360"/>
      </w:pPr>
      <w:r>
        <w:t xml:space="preserve">Preparing Records for Archive </w:t>
      </w:r>
    </w:p>
    <w:p w:rsidR="008A6DBD" w:rsidRDefault="007902A1">
      <w:pPr>
        <w:numPr>
          <w:ilvl w:val="0"/>
          <w:numId w:val="5"/>
        </w:numPr>
        <w:ind w:hanging="360"/>
      </w:pPr>
      <w:r>
        <w:t xml:space="preserve">Transporting Records  </w:t>
      </w:r>
      <w:r>
        <w:tab/>
        <w:t xml:space="preserve"> </w:t>
      </w:r>
      <w:r>
        <w:tab/>
        <w:t xml:space="preserve"> </w:t>
      </w:r>
      <w:r>
        <w:tab/>
        <w:t xml:space="preserve"> </w:t>
      </w:r>
      <w:r>
        <w:tab/>
        <w:t xml:space="preserve"> </w:t>
      </w:r>
    </w:p>
    <w:p w:rsidR="008A6DBD" w:rsidRDefault="007902A1">
      <w:pPr>
        <w:numPr>
          <w:ilvl w:val="0"/>
          <w:numId w:val="5"/>
        </w:numPr>
        <w:ind w:hanging="360"/>
      </w:pPr>
      <w:r>
        <w:t xml:space="preserve">Security of Records </w:t>
      </w:r>
      <w:r>
        <w:tab/>
        <w:t xml:space="preserve"> </w:t>
      </w:r>
      <w:r>
        <w:tab/>
        <w:t xml:space="preserve"> </w:t>
      </w:r>
      <w:r>
        <w:tab/>
        <w:t xml:space="preserve"> </w:t>
      </w:r>
      <w:r>
        <w:tab/>
        <w:t xml:space="preserve"> </w:t>
      </w:r>
      <w:r>
        <w:tab/>
        <w:t xml:space="preserve"> </w:t>
      </w:r>
      <w:r>
        <w:tab/>
        <w:t xml:space="preserve"> </w:t>
      </w:r>
    </w:p>
    <w:p w:rsidR="008A6DBD" w:rsidRDefault="007902A1">
      <w:pPr>
        <w:numPr>
          <w:ilvl w:val="0"/>
          <w:numId w:val="5"/>
        </w:numPr>
        <w:ind w:hanging="360"/>
      </w:pPr>
      <w:r>
        <w:t xml:space="preserve">What is a master file and what is a working file? </w:t>
      </w:r>
      <w:r>
        <w:tab/>
        <w:t xml:space="preserve"> </w:t>
      </w:r>
    </w:p>
    <w:p w:rsidR="008A6DBD" w:rsidRDefault="007902A1">
      <w:pPr>
        <w:numPr>
          <w:ilvl w:val="0"/>
          <w:numId w:val="5"/>
        </w:numPr>
        <w:ind w:hanging="360"/>
      </w:pPr>
      <w:r>
        <w:t xml:space="preserve">Accessing External Confidential Waste Disposal Company </w:t>
      </w:r>
    </w:p>
    <w:p w:rsidR="008A6DBD" w:rsidRDefault="007902A1">
      <w:pPr>
        <w:numPr>
          <w:ilvl w:val="0"/>
          <w:numId w:val="5"/>
        </w:numPr>
        <w:ind w:hanging="360"/>
      </w:pPr>
      <w:r>
        <w:t xml:space="preserve">Protective Markings on File Covers </w:t>
      </w:r>
      <w:r>
        <w:tab/>
        <w:t xml:space="preserve"> </w:t>
      </w:r>
      <w:r>
        <w:tab/>
        <w:t xml:space="preserve"> </w:t>
      </w:r>
      <w:r>
        <w:tab/>
        <w:t xml:space="preserve"> </w:t>
      </w:r>
    </w:p>
    <w:p w:rsidR="008A6DBD" w:rsidRDefault="007902A1">
      <w:pPr>
        <w:numPr>
          <w:ilvl w:val="0"/>
          <w:numId w:val="5"/>
        </w:numPr>
        <w:ind w:hanging="360"/>
      </w:pPr>
      <w:r>
        <w:t xml:space="preserve">Filing Systems </w:t>
      </w:r>
    </w:p>
    <w:p w:rsidR="008A6DBD" w:rsidRDefault="007902A1">
      <w:pPr>
        <w:spacing w:after="0" w:line="259" w:lineRule="auto"/>
        <w:ind w:left="796" w:firstLine="0"/>
      </w:pPr>
      <w:r>
        <w:lastRenderedPageBreak/>
        <w:t xml:space="preserve"> </w:t>
      </w:r>
    </w:p>
    <w:p w:rsidR="008A6DBD" w:rsidRDefault="00D1425E">
      <w:pPr>
        <w:pStyle w:val="Heading1"/>
        <w:tabs>
          <w:tab w:val="center" w:pos="2778"/>
        </w:tabs>
        <w:ind w:left="0" w:firstLine="0"/>
      </w:pPr>
      <w:r>
        <w:t xml:space="preserve"> </w:t>
      </w:r>
      <w:bookmarkStart w:id="7" w:name="_Toc150869254"/>
      <w:r w:rsidR="007902A1">
        <w:t xml:space="preserve">6. </w:t>
      </w:r>
      <w:r w:rsidR="007902A1">
        <w:tab/>
        <w:t>Off-site Records Management</w:t>
      </w:r>
      <w:bookmarkEnd w:id="7"/>
      <w:r w:rsidR="007902A1">
        <w:t xml:space="preserve">  </w:t>
      </w:r>
    </w:p>
    <w:p w:rsidR="008A6DBD" w:rsidRDefault="007902A1">
      <w:pPr>
        <w:spacing w:after="0" w:line="259" w:lineRule="auto"/>
        <w:ind w:left="720" w:firstLine="0"/>
      </w:pPr>
      <w:r>
        <w:t xml:space="preserve"> </w:t>
      </w:r>
    </w:p>
    <w:p w:rsidR="008A6DBD" w:rsidRDefault="007902A1">
      <w:pPr>
        <w:ind w:left="61"/>
      </w:pPr>
      <w:r>
        <w:t>It is not possible to store all records locally; therefore</w:t>
      </w:r>
      <w:r w:rsidR="00D1425E">
        <w:t>,</w:t>
      </w:r>
      <w:r>
        <w:t xml:space="preserve"> some will be stored in secure off-site storage through the regional contract. The principles set out in this </w:t>
      </w:r>
      <w:r w:rsidR="00D1425E">
        <w:t>p</w:t>
      </w:r>
      <w:r>
        <w:t xml:space="preserve">olicy also apply to the management of off- site records. </w:t>
      </w:r>
    </w:p>
    <w:p w:rsidR="008A6DBD" w:rsidRDefault="007902A1">
      <w:pPr>
        <w:spacing w:after="0" w:line="259" w:lineRule="auto"/>
        <w:ind w:firstLine="0"/>
      </w:pPr>
      <w:r>
        <w:t xml:space="preserve"> </w:t>
      </w:r>
    </w:p>
    <w:p w:rsidR="008A6DBD" w:rsidRDefault="007902A1">
      <w:pPr>
        <w:ind w:left="61"/>
      </w:pPr>
      <w:r>
        <w:t xml:space="preserve">All records held in off-site storage should have a review or retention date recorded.  It is the responsibility of the relevant information asset owner to ensure that these dates are recorded for each record.   </w:t>
      </w:r>
    </w:p>
    <w:p w:rsidR="008A6DBD" w:rsidRDefault="007902A1">
      <w:pPr>
        <w:spacing w:after="0" w:line="259" w:lineRule="auto"/>
        <w:ind w:firstLine="0"/>
      </w:pPr>
      <w:r>
        <w:t xml:space="preserve"> </w:t>
      </w:r>
    </w:p>
    <w:p w:rsidR="008A6DBD" w:rsidRDefault="007902A1">
      <w:pPr>
        <w:pStyle w:val="Heading1"/>
        <w:tabs>
          <w:tab w:val="center" w:pos="1760"/>
        </w:tabs>
        <w:ind w:left="0" w:firstLine="0"/>
      </w:pPr>
      <w:bookmarkStart w:id="8" w:name="_Toc150869255"/>
      <w:r>
        <w:t xml:space="preserve">7. </w:t>
      </w:r>
      <w:r>
        <w:tab/>
        <w:t>Accountability</w:t>
      </w:r>
      <w:bookmarkEnd w:id="8"/>
      <w:r>
        <w:t xml:space="preserve"> </w:t>
      </w:r>
    </w:p>
    <w:p w:rsidR="008A6DBD" w:rsidRDefault="007902A1">
      <w:pPr>
        <w:spacing w:after="0" w:line="259" w:lineRule="auto"/>
        <w:ind w:firstLine="0"/>
      </w:pPr>
      <w:r>
        <w:t xml:space="preserve"> </w:t>
      </w:r>
    </w:p>
    <w:p w:rsidR="008A6DBD" w:rsidRDefault="007902A1">
      <w:pPr>
        <w:ind w:left="61"/>
      </w:pPr>
      <w:r>
        <w:t xml:space="preserve">All records created by the PHA are public records as defined in the Public Records Act (Northern Ireland) 1923.  </w:t>
      </w:r>
    </w:p>
    <w:p w:rsidR="008A6DBD" w:rsidRDefault="007902A1">
      <w:pPr>
        <w:spacing w:after="0" w:line="259" w:lineRule="auto"/>
        <w:ind w:firstLine="0"/>
      </w:pPr>
      <w:r>
        <w:rPr>
          <w:b/>
        </w:rPr>
        <w:t xml:space="preserve"> </w:t>
      </w:r>
    </w:p>
    <w:p w:rsidR="008A6DBD" w:rsidRDefault="007902A1">
      <w:pPr>
        <w:pStyle w:val="Heading3"/>
        <w:tabs>
          <w:tab w:val="center" w:pos="2406"/>
        </w:tabs>
        <w:ind w:left="0" w:firstLine="0"/>
      </w:pPr>
      <w:r>
        <w:t xml:space="preserve">7.1 </w:t>
      </w:r>
      <w:r>
        <w:tab/>
        <w:t xml:space="preserve">Statutory Responsibility </w:t>
      </w:r>
    </w:p>
    <w:p w:rsidR="008A6DBD" w:rsidRDefault="007902A1">
      <w:pPr>
        <w:spacing w:after="2" w:line="259" w:lineRule="auto"/>
        <w:ind w:firstLine="0"/>
      </w:pPr>
      <w:r>
        <w:rPr>
          <w:b/>
        </w:rPr>
        <w:t xml:space="preserve"> </w:t>
      </w:r>
    </w:p>
    <w:p w:rsidR="008A6DBD" w:rsidRDefault="007902A1">
      <w:pPr>
        <w:ind w:left="61"/>
      </w:pPr>
      <w:r>
        <w:t xml:space="preserve">“Good Management Good Records” states that the Permanent Secretary, Departmental Information Manager, Chief Executives and senior managers are personally accountable for records management within their organisation and have a duty to </w:t>
      </w:r>
      <w:proofErr w:type="gramStart"/>
      <w:r>
        <w:t>make arrangements</w:t>
      </w:r>
      <w:proofErr w:type="gramEnd"/>
      <w:r>
        <w:t xml:space="preserve"> for the safe keeping and eventual disposal of those records under the overall supervision of the Deputy Keeper of Public Records at PRONI.   </w:t>
      </w:r>
    </w:p>
    <w:p w:rsidR="00B4002C" w:rsidRDefault="00B4002C">
      <w:pPr>
        <w:ind w:left="61"/>
      </w:pPr>
    </w:p>
    <w:p w:rsidR="00B4002C" w:rsidRDefault="00B4002C">
      <w:pPr>
        <w:ind w:left="61"/>
      </w:pPr>
      <w:r>
        <w:t>Organisations are also required to take positive ownership of, and responsibility for, the records legacy of predecessor Organisations and/or obsolete services.</w:t>
      </w:r>
    </w:p>
    <w:p w:rsidR="008A6DBD" w:rsidRDefault="007902A1">
      <w:pPr>
        <w:spacing w:after="0" w:line="259" w:lineRule="auto"/>
        <w:ind w:firstLine="0"/>
        <w:rPr>
          <w:b/>
        </w:rPr>
      </w:pPr>
      <w:r>
        <w:rPr>
          <w:b/>
        </w:rPr>
        <w:t xml:space="preserve"> </w:t>
      </w:r>
    </w:p>
    <w:p w:rsidR="009F53C6" w:rsidRDefault="009F53C6">
      <w:pPr>
        <w:spacing w:after="0" w:line="259" w:lineRule="auto"/>
        <w:ind w:firstLine="0"/>
      </w:pPr>
      <w:r>
        <w:t xml:space="preserve">Robust records management procedures are required to meet the requirements set out under the Data Protection Act 2018 (DPA 2018), </w:t>
      </w:r>
      <w:r w:rsidR="00D1425E" w:rsidRPr="00F50BE3">
        <w:rPr>
          <w:color w:val="auto"/>
        </w:rPr>
        <w:t xml:space="preserve">UK General Data Protection Regulations (UK GDPR), </w:t>
      </w:r>
      <w:r>
        <w:t>the Freedom of Information Act 2000 (FOI Act 2000) and the Environmental Information Regulations 2004 (EIR 2004).</w:t>
      </w:r>
    </w:p>
    <w:p w:rsidR="009F53C6" w:rsidRDefault="009F53C6">
      <w:pPr>
        <w:spacing w:after="0" w:line="259" w:lineRule="auto"/>
        <w:ind w:firstLine="0"/>
      </w:pPr>
    </w:p>
    <w:p w:rsidR="008A6DBD" w:rsidRDefault="007902A1">
      <w:pPr>
        <w:pStyle w:val="Heading3"/>
        <w:ind w:left="71"/>
      </w:pPr>
      <w:r>
        <w:lastRenderedPageBreak/>
        <w:t xml:space="preserve">7.2  Roles and Responsibilities within PHA  </w:t>
      </w:r>
    </w:p>
    <w:p w:rsidR="008A6DBD" w:rsidRDefault="007902A1">
      <w:pPr>
        <w:spacing w:after="0" w:line="259" w:lineRule="auto"/>
        <w:ind w:firstLine="0"/>
      </w:pPr>
      <w:r>
        <w:rPr>
          <w:b/>
        </w:rPr>
        <w:t xml:space="preserve"> </w:t>
      </w:r>
    </w:p>
    <w:p w:rsidR="008A6DBD" w:rsidRDefault="007902A1">
      <w:pPr>
        <w:ind w:left="61"/>
      </w:pPr>
      <w:r>
        <w:t xml:space="preserve">The formal roles and responsibilities relating to records management are set out in </w:t>
      </w:r>
      <w:r w:rsidR="00D1425E">
        <w:t>s</w:t>
      </w:r>
      <w:r>
        <w:t xml:space="preserve">ection 3 of “Good Management Good Records”.  Within the PHA these roles and responsibilities are as follows: </w:t>
      </w:r>
    </w:p>
    <w:p w:rsidR="008A6DBD" w:rsidRDefault="007902A1">
      <w:pPr>
        <w:spacing w:after="0" w:line="259" w:lineRule="auto"/>
        <w:ind w:firstLine="0"/>
      </w:pPr>
      <w:r>
        <w:rPr>
          <w:b/>
        </w:rPr>
        <w:t xml:space="preserve"> </w:t>
      </w:r>
    </w:p>
    <w:p w:rsidR="008A6DBD" w:rsidRDefault="007902A1">
      <w:pPr>
        <w:numPr>
          <w:ilvl w:val="0"/>
          <w:numId w:val="6"/>
        </w:numPr>
        <w:ind w:hanging="360"/>
      </w:pPr>
      <w:r>
        <w:rPr>
          <w:b/>
        </w:rPr>
        <w:t>All Staff</w:t>
      </w:r>
      <w:r>
        <w:t xml:space="preserve"> – All staff have a responsibility to comply with the records management strategy, policy and associated procedures. </w:t>
      </w:r>
    </w:p>
    <w:p w:rsidR="008A6DBD" w:rsidRDefault="007902A1">
      <w:pPr>
        <w:spacing w:after="0" w:line="259" w:lineRule="auto"/>
        <w:ind w:left="436" w:firstLine="0"/>
      </w:pPr>
      <w:r>
        <w:rPr>
          <w:b/>
        </w:rPr>
        <w:t xml:space="preserve"> </w:t>
      </w:r>
    </w:p>
    <w:p w:rsidR="008A6DBD" w:rsidRDefault="007902A1">
      <w:pPr>
        <w:numPr>
          <w:ilvl w:val="0"/>
          <w:numId w:val="6"/>
        </w:numPr>
        <w:ind w:hanging="360"/>
      </w:pPr>
      <w:r>
        <w:rPr>
          <w:b/>
        </w:rPr>
        <w:t xml:space="preserve">Chief Executive </w:t>
      </w:r>
      <w:r>
        <w:t xml:space="preserve">– The Chief Executive, as Accounting Officer, has responsibility for ensuring that the PHA complies with its statutory obligations and </w:t>
      </w:r>
      <w:proofErr w:type="spellStart"/>
      <w:r>
        <w:t>DoH</w:t>
      </w:r>
      <w:proofErr w:type="spellEnd"/>
      <w:r>
        <w:t xml:space="preserve"> directives.</w:t>
      </w:r>
      <w:r>
        <w:rPr>
          <w:b/>
        </w:rPr>
        <w:t xml:space="preserve"> </w:t>
      </w:r>
    </w:p>
    <w:p w:rsidR="008A6DBD" w:rsidRDefault="007902A1">
      <w:pPr>
        <w:spacing w:after="0" w:line="259" w:lineRule="auto"/>
        <w:ind w:firstLine="0"/>
      </w:pPr>
      <w:r>
        <w:rPr>
          <w:b/>
        </w:rPr>
        <w:t xml:space="preserve"> </w:t>
      </w:r>
    </w:p>
    <w:p w:rsidR="008A6DBD" w:rsidRDefault="007902A1">
      <w:pPr>
        <w:numPr>
          <w:ilvl w:val="0"/>
          <w:numId w:val="6"/>
        </w:numPr>
        <w:ind w:hanging="360"/>
      </w:pPr>
      <w:r>
        <w:rPr>
          <w:b/>
        </w:rPr>
        <w:t xml:space="preserve">Senior Information Risk Owner (SIRO) </w:t>
      </w:r>
      <w:r>
        <w:t>– The SIRO (Director of Operations) is the focus for the management of information risk at Board level. The SIRO</w:t>
      </w:r>
      <w:r w:rsidR="009F53C6">
        <w:t xml:space="preserve"> should lead and foster a culture that values, protects and uses information for the public good.  The SIRO </w:t>
      </w:r>
      <w:r>
        <w:t xml:space="preserve"> will advise the Accounting Officer on the Information Risk aspect of the Governance Statement and will own the overall information risk and risk assessment process. </w:t>
      </w:r>
    </w:p>
    <w:p w:rsidR="008A6DBD" w:rsidRDefault="007902A1">
      <w:pPr>
        <w:spacing w:after="0" w:line="259" w:lineRule="auto"/>
        <w:ind w:firstLine="0"/>
      </w:pPr>
      <w:r>
        <w:t xml:space="preserve"> </w:t>
      </w:r>
    </w:p>
    <w:p w:rsidR="008A6DBD" w:rsidRDefault="007902A1">
      <w:pPr>
        <w:numPr>
          <w:ilvl w:val="0"/>
          <w:numId w:val="6"/>
        </w:numPr>
        <w:spacing w:after="0" w:line="241" w:lineRule="auto"/>
        <w:ind w:hanging="360"/>
      </w:pPr>
      <w:r>
        <w:rPr>
          <w:b/>
        </w:rPr>
        <w:t>Data Protection Officer (DPO)</w:t>
      </w:r>
      <w:r>
        <w:t xml:space="preserve"> - </w:t>
      </w:r>
      <w:r>
        <w:rPr>
          <w:color w:val="010C1A"/>
        </w:rPr>
        <w:t xml:space="preserve">The DPO is the first point of contact for the ICO and for individuals whose data is processed (employees, members of public etc).  </w:t>
      </w:r>
    </w:p>
    <w:p w:rsidR="008A6DBD" w:rsidRDefault="007902A1">
      <w:pPr>
        <w:spacing w:after="0" w:line="259" w:lineRule="auto"/>
        <w:ind w:firstLine="0"/>
      </w:pPr>
      <w:r>
        <w:rPr>
          <w:color w:val="010C1A"/>
        </w:rPr>
        <w:t xml:space="preserve"> </w:t>
      </w:r>
    </w:p>
    <w:p w:rsidR="008A6DBD" w:rsidRPr="006F36F1" w:rsidRDefault="007902A1" w:rsidP="006F36F1">
      <w:pPr>
        <w:pStyle w:val="Heading2"/>
        <w:numPr>
          <w:ilvl w:val="0"/>
          <w:numId w:val="10"/>
        </w:numPr>
        <w:ind w:left="426" w:hanging="426"/>
        <w:rPr>
          <w:b w:val="0"/>
        </w:rPr>
      </w:pPr>
      <w:r w:rsidRPr="006F36F1">
        <w:t xml:space="preserve">Assistant Director Planning and </w:t>
      </w:r>
      <w:r w:rsidR="00A63B47" w:rsidRPr="006F36F1">
        <w:t>Business</w:t>
      </w:r>
      <w:r w:rsidR="00A63B47" w:rsidRPr="006F36F1">
        <w:rPr>
          <w:b w:val="0"/>
        </w:rPr>
        <w:t xml:space="preserve"> </w:t>
      </w:r>
      <w:r w:rsidR="00D1425E" w:rsidRPr="00F50BE3">
        <w:rPr>
          <w:b w:val="0"/>
          <w:color w:val="auto"/>
          <w:u w:val="single"/>
        </w:rPr>
        <w:t>Services</w:t>
      </w:r>
      <w:r w:rsidR="00D1425E" w:rsidRPr="00F50BE3">
        <w:rPr>
          <w:b w:val="0"/>
          <w:color w:val="auto"/>
        </w:rPr>
        <w:t xml:space="preserve"> </w:t>
      </w:r>
      <w:r w:rsidR="00A63B47" w:rsidRPr="006F36F1">
        <w:rPr>
          <w:b w:val="0"/>
        </w:rPr>
        <w:t xml:space="preserve">(AD P&amp;B)  </w:t>
      </w:r>
      <w:r w:rsidRPr="006F36F1">
        <w:rPr>
          <w:b w:val="0"/>
        </w:rPr>
        <w:t>– The AD P&amp;</w:t>
      </w:r>
      <w:r w:rsidR="00A63B47" w:rsidRPr="006F36F1">
        <w:rPr>
          <w:b w:val="0"/>
        </w:rPr>
        <w:t>B</w:t>
      </w:r>
      <w:r w:rsidRPr="006F36F1">
        <w:rPr>
          <w:b w:val="0"/>
        </w:rPr>
        <w:t xml:space="preserve"> has responsibility delegated from the SIRO for ensuring that effective systems and processes are in place to address the information governance agenda including records management. </w:t>
      </w:r>
    </w:p>
    <w:p w:rsidR="008A6DBD" w:rsidRDefault="007902A1">
      <w:pPr>
        <w:spacing w:after="0" w:line="259" w:lineRule="auto"/>
        <w:ind w:firstLine="0"/>
      </w:pPr>
      <w:r>
        <w:t xml:space="preserve"> </w:t>
      </w:r>
    </w:p>
    <w:p w:rsidR="008A6DBD" w:rsidRDefault="007902A1">
      <w:pPr>
        <w:numPr>
          <w:ilvl w:val="0"/>
          <w:numId w:val="7"/>
        </w:numPr>
        <w:ind w:hanging="360"/>
      </w:pPr>
      <w:r>
        <w:rPr>
          <w:b/>
        </w:rPr>
        <w:t xml:space="preserve">Governance Manager </w:t>
      </w:r>
      <w:r>
        <w:t xml:space="preserve">– The Governance Manager is </w:t>
      </w:r>
    </w:p>
    <w:p w:rsidR="008A6DBD" w:rsidRDefault="007902A1">
      <w:pPr>
        <w:ind w:left="436"/>
      </w:pPr>
      <w:r>
        <w:t xml:space="preserve">operationally responsible for the day to day implementation of all aspects of Information Governance including records management.  </w:t>
      </w:r>
    </w:p>
    <w:p w:rsidR="008A6DBD" w:rsidRDefault="007902A1">
      <w:pPr>
        <w:spacing w:after="44" w:line="259" w:lineRule="auto"/>
        <w:ind w:left="796" w:firstLine="0"/>
      </w:pPr>
      <w:r>
        <w:t xml:space="preserve"> </w:t>
      </w:r>
    </w:p>
    <w:p w:rsidR="008A6DBD" w:rsidRDefault="007902A1">
      <w:pPr>
        <w:numPr>
          <w:ilvl w:val="0"/>
          <w:numId w:val="7"/>
        </w:numPr>
        <w:ind w:hanging="360"/>
      </w:pPr>
      <w:r>
        <w:rPr>
          <w:b/>
        </w:rPr>
        <w:t>Office Managers</w:t>
      </w:r>
      <w:r>
        <w:t xml:space="preserve"> – Responsibility for coordinating and overseeing implementation of records management within their offices. </w:t>
      </w:r>
    </w:p>
    <w:p w:rsidR="008A6DBD" w:rsidRDefault="007902A1">
      <w:pPr>
        <w:spacing w:after="0" w:line="259" w:lineRule="auto"/>
        <w:ind w:left="436" w:firstLine="0"/>
      </w:pPr>
      <w:r>
        <w:lastRenderedPageBreak/>
        <w:t xml:space="preserve"> </w:t>
      </w:r>
    </w:p>
    <w:p w:rsidR="008A6DBD" w:rsidRDefault="007902A1">
      <w:pPr>
        <w:numPr>
          <w:ilvl w:val="0"/>
          <w:numId w:val="7"/>
        </w:numPr>
        <w:ind w:hanging="360"/>
      </w:pPr>
      <w:r>
        <w:rPr>
          <w:b/>
        </w:rPr>
        <w:t>The Personal Data Guardian (PDG)</w:t>
      </w:r>
      <w:r>
        <w:t xml:space="preserve"> – The PDG (Director of Public Health/Medical Director) has responsibility for ensuring that the PHA processes satisfy the highest practical standards for handling personal data.  The PDG is the ‘conscience’ of the organi</w:t>
      </w:r>
      <w:r w:rsidR="00A63B47">
        <w:t>s</w:t>
      </w:r>
      <w:r>
        <w:t xml:space="preserve">ation in respect of patient information, and will also promote a culture that respects and protects personal data.  The PDG works closely with the SIRO and Information Asset Owners where appropriate, especially where information risk reviews are conducted for assets which comprise or contain patient/service user information. </w:t>
      </w:r>
    </w:p>
    <w:p w:rsidR="008A6DBD" w:rsidRDefault="007902A1">
      <w:pPr>
        <w:spacing w:after="40" w:line="259" w:lineRule="auto"/>
        <w:ind w:firstLine="0"/>
      </w:pPr>
      <w:r>
        <w:t xml:space="preserve"> </w:t>
      </w:r>
    </w:p>
    <w:p w:rsidR="009F53C6" w:rsidRDefault="007902A1" w:rsidP="00A63B47">
      <w:pPr>
        <w:numPr>
          <w:ilvl w:val="0"/>
          <w:numId w:val="7"/>
        </w:numPr>
        <w:ind w:hanging="360"/>
      </w:pPr>
      <w:r>
        <w:rPr>
          <w:b/>
        </w:rPr>
        <w:t>Information Asset Owners (IAOs)</w:t>
      </w:r>
      <w:r>
        <w:t xml:space="preserve"> </w:t>
      </w:r>
      <w:r w:rsidR="009F53C6">
        <w:t>are senior individuals</w:t>
      </w:r>
      <w:r w:rsidR="00A63B47">
        <w:t xml:space="preserve"> whose primary role is to understand what information is held and</w:t>
      </w:r>
      <w:r>
        <w:t xml:space="preserve"> manage and address risks associated with the information assets within their function</w:t>
      </w:r>
      <w:r w:rsidR="00A63B47">
        <w:t xml:space="preserve">. They are required </w:t>
      </w:r>
      <w:r>
        <w:t xml:space="preserve"> to provide assurance to the SIRO on the management of those assets. Each Assistant Director</w:t>
      </w:r>
      <w:r w:rsidR="00A63B47">
        <w:t xml:space="preserve"> or other senior manager</w:t>
      </w:r>
      <w:r>
        <w:t xml:space="preserve"> is the IAO for their function and sit on the Information Governance Steering Group.  </w:t>
      </w:r>
    </w:p>
    <w:p w:rsidR="008A6DBD" w:rsidRDefault="007902A1">
      <w:pPr>
        <w:spacing w:after="25" w:line="259" w:lineRule="auto"/>
        <w:ind w:firstLine="0"/>
      </w:pPr>
      <w:r>
        <w:t xml:space="preserve"> </w:t>
      </w:r>
    </w:p>
    <w:p w:rsidR="008A6DBD" w:rsidRDefault="007902A1">
      <w:pPr>
        <w:numPr>
          <w:ilvl w:val="0"/>
          <w:numId w:val="7"/>
        </w:numPr>
        <w:ind w:hanging="360"/>
      </w:pPr>
      <w:r>
        <w:rPr>
          <w:b/>
        </w:rPr>
        <w:t xml:space="preserve">Information Asset Assistants (IAA’s) </w:t>
      </w:r>
      <w:r>
        <w:t xml:space="preserve">– IAAs may be identified in each function to support the IAO. </w:t>
      </w:r>
    </w:p>
    <w:p w:rsidR="008A6DBD" w:rsidRDefault="007902A1">
      <w:pPr>
        <w:spacing w:after="0" w:line="259" w:lineRule="auto"/>
        <w:ind w:firstLine="0"/>
      </w:pPr>
      <w:r>
        <w:t xml:space="preserve"> </w:t>
      </w:r>
    </w:p>
    <w:p w:rsidR="008A6DBD" w:rsidRDefault="007902A1">
      <w:pPr>
        <w:numPr>
          <w:ilvl w:val="0"/>
          <w:numId w:val="7"/>
        </w:numPr>
        <w:ind w:hanging="360"/>
      </w:pPr>
      <w:r>
        <w:rPr>
          <w:b/>
        </w:rPr>
        <w:t>Information Governance Steering Group (IGSG)</w:t>
      </w:r>
      <w:r>
        <w:t xml:space="preserve"> – Consisting of representatives from all PHA Directorates the primary function </w:t>
      </w:r>
    </w:p>
    <w:p w:rsidR="008A6DBD" w:rsidRDefault="007902A1">
      <w:pPr>
        <w:ind w:left="436"/>
      </w:pPr>
      <w:r>
        <w:t xml:space="preserve">of the IGSG will be to lead the development and implementation of the Information Governance </w:t>
      </w:r>
      <w:r w:rsidR="00D1425E">
        <w:t>f</w:t>
      </w:r>
      <w:r>
        <w:t xml:space="preserve">ramework across the organisation. The Group will be chaired by the SIRO, or their deputy, and will meet not less than three times per year. </w:t>
      </w:r>
    </w:p>
    <w:p w:rsidR="008A6DBD" w:rsidRDefault="007902A1">
      <w:pPr>
        <w:spacing w:after="0" w:line="259" w:lineRule="auto"/>
        <w:ind w:left="206" w:firstLine="0"/>
      </w:pPr>
      <w:r>
        <w:t xml:space="preserve"> </w:t>
      </w:r>
    </w:p>
    <w:p w:rsidR="008A6DBD" w:rsidRDefault="007902A1">
      <w:pPr>
        <w:numPr>
          <w:ilvl w:val="0"/>
          <w:numId w:val="7"/>
        </w:numPr>
        <w:ind w:hanging="360"/>
      </w:pPr>
      <w:r>
        <w:rPr>
          <w:b/>
        </w:rPr>
        <w:t xml:space="preserve">Records Management Working Group (RMWG) </w:t>
      </w:r>
      <w:r>
        <w:t xml:space="preserve">– Chaired by the Assistant Director of Planning and </w:t>
      </w:r>
      <w:r w:rsidR="00A63B47">
        <w:t>Business</w:t>
      </w:r>
      <w:r>
        <w:t xml:space="preserve">, or their deputy, this Group will address the Records Management function within the PHA developing and implementing an effective system across all offices. Membership consists of representatives from each Directorate. Members will in turn cascade progress across all teams within their Directorate.  The RMWG reports to the IGSG. </w:t>
      </w:r>
    </w:p>
    <w:p w:rsidR="008A6DBD" w:rsidRDefault="007902A1">
      <w:pPr>
        <w:spacing w:after="0" w:line="259" w:lineRule="auto"/>
        <w:ind w:firstLine="0"/>
      </w:pPr>
      <w:r>
        <w:t xml:space="preserve"> </w:t>
      </w:r>
    </w:p>
    <w:p w:rsidR="008A6DBD" w:rsidRDefault="007902A1">
      <w:pPr>
        <w:numPr>
          <w:ilvl w:val="0"/>
          <w:numId w:val="7"/>
        </w:numPr>
        <w:ind w:hanging="360"/>
      </w:pPr>
      <w:r>
        <w:rPr>
          <w:b/>
        </w:rPr>
        <w:t xml:space="preserve">PHA Governance and Audit Committee (GAC) </w:t>
      </w:r>
      <w:r>
        <w:t xml:space="preserve">– The GAC has responsibility for providing the PHA board with an independent </w:t>
      </w:r>
      <w:r>
        <w:lastRenderedPageBreak/>
        <w:t xml:space="preserve">and objective review of governance processes and an assurance on the adequacy and effectiveness of the system of internal control within the PHA. It will formally review progress against the Information Governance Strategy.  </w:t>
      </w:r>
    </w:p>
    <w:p w:rsidR="008A6DBD" w:rsidRDefault="007902A1">
      <w:pPr>
        <w:spacing w:after="44" w:line="259" w:lineRule="auto"/>
        <w:ind w:left="796" w:firstLine="0"/>
      </w:pPr>
      <w:r>
        <w:rPr>
          <w:b/>
        </w:rPr>
        <w:t xml:space="preserve"> </w:t>
      </w:r>
    </w:p>
    <w:p w:rsidR="008A6DBD" w:rsidRDefault="007902A1">
      <w:pPr>
        <w:numPr>
          <w:ilvl w:val="0"/>
          <w:numId w:val="7"/>
        </w:numPr>
        <w:ind w:hanging="360"/>
      </w:pPr>
      <w:r>
        <w:rPr>
          <w:b/>
        </w:rPr>
        <w:t xml:space="preserve">PHA Agency Management Team (AMT) </w:t>
      </w:r>
      <w:r>
        <w:t xml:space="preserve">– AMT will receive updates on Information Governance matters (including Records Management) on both a formal and informal basis via the Director of Operations who fulfils the role of Senior Information Risk Owner (SIRO) and Chair of the Information Governance Steering Group. The PDG will also report on matters relating to patient identifiable information where appropriate. </w:t>
      </w:r>
    </w:p>
    <w:p w:rsidR="008A6DBD" w:rsidRDefault="007902A1">
      <w:pPr>
        <w:spacing w:after="0" w:line="259" w:lineRule="auto"/>
        <w:ind w:firstLine="0"/>
      </w:pPr>
      <w:r>
        <w:t xml:space="preserve"> </w:t>
      </w:r>
    </w:p>
    <w:p w:rsidR="008A6DBD" w:rsidRDefault="007902A1">
      <w:pPr>
        <w:ind w:left="61"/>
      </w:pPr>
      <w:r>
        <w:t xml:space="preserve">Appendix 1 outlines the relevant legislation and drivers in relation to legal and professional responsibility for records management. </w:t>
      </w:r>
    </w:p>
    <w:p w:rsidR="008A6DBD" w:rsidRDefault="007902A1">
      <w:pPr>
        <w:spacing w:after="0" w:line="259" w:lineRule="auto"/>
        <w:ind w:firstLine="0"/>
      </w:pPr>
      <w:r>
        <w:rPr>
          <w:b/>
        </w:rPr>
        <w:t xml:space="preserve"> </w:t>
      </w:r>
    </w:p>
    <w:p w:rsidR="008A6DBD" w:rsidRDefault="007902A1">
      <w:pPr>
        <w:pStyle w:val="Heading1"/>
        <w:tabs>
          <w:tab w:val="center" w:pos="2351"/>
        </w:tabs>
        <w:ind w:left="0" w:firstLine="0"/>
      </w:pPr>
      <w:bookmarkStart w:id="9" w:name="_Toc150869256"/>
      <w:r>
        <w:t xml:space="preserve">8. </w:t>
      </w:r>
      <w:r>
        <w:tab/>
        <w:t>Monitoring Compliance</w:t>
      </w:r>
      <w:bookmarkEnd w:id="9"/>
      <w:r>
        <w:t xml:space="preserve"> </w:t>
      </w:r>
    </w:p>
    <w:p w:rsidR="008A6DBD" w:rsidRDefault="007902A1">
      <w:pPr>
        <w:spacing w:after="0" w:line="259" w:lineRule="auto"/>
        <w:ind w:firstLine="0"/>
      </w:pPr>
      <w:r>
        <w:rPr>
          <w:b/>
        </w:rPr>
        <w:t xml:space="preserve"> </w:t>
      </w:r>
    </w:p>
    <w:p w:rsidR="008A6DBD" w:rsidRDefault="007902A1">
      <w:pPr>
        <w:ind w:left="61"/>
      </w:pPr>
      <w:r>
        <w:t xml:space="preserve">Compliance with this policy and associated procedures will be monitored by audits of sample records and records storage areas as well as through self-assessment of the Information Management Assurance Checklist and Internal Audit audits as appropriate.  Records Management will also be subject to periodic audit by internal and external audit. These audits will seek to: </w:t>
      </w:r>
    </w:p>
    <w:p w:rsidR="008A6DBD" w:rsidRDefault="007902A1">
      <w:pPr>
        <w:spacing w:after="0" w:line="259" w:lineRule="auto"/>
        <w:ind w:firstLine="0"/>
      </w:pPr>
      <w:r>
        <w:t xml:space="preserve"> </w:t>
      </w:r>
    </w:p>
    <w:p w:rsidR="008A6DBD" w:rsidRDefault="007902A1">
      <w:pPr>
        <w:numPr>
          <w:ilvl w:val="0"/>
          <w:numId w:val="8"/>
        </w:numPr>
        <w:ind w:hanging="360"/>
      </w:pPr>
      <w:r>
        <w:t xml:space="preserve">identify areas of good practice which can be used throughout the PHA; </w:t>
      </w:r>
    </w:p>
    <w:p w:rsidR="008A6DBD" w:rsidRDefault="007902A1">
      <w:pPr>
        <w:spacing w:after="0" w:line="259" w:lineRule="auto"/>
        <w:ind w:left="976" w:firstLine="0"/>
      </w:pPr>
      <w:r>
        <w:t xml:space="preserve"> </w:t>
      </w:r>
    </w:p>
    <w:p w:rsidR="008A6DBD" w:rsidRDefault="007902A1">
      <w:pPr>
        <w:numPr>
          <w:ilvl w:val="0"/>
          <w:numId w:val="8"/>
        </w:numPr>
        <w:ind w:hanging="360"/>
      </w:pPr>
      <w:r>
        <w:t xml:space="preserve">highlight where non-conformance with the procedures is occurring; and </w:t>
      </w:r>
    </w:p>
    <w:p w:rsidR="008A6DBD" w:rsidRDefault="007902A1">
      <w:pPr>
        <w:spacing w:after="0" w:line="259" w:lineRule="auto"/>
        <w:ind w:firstLine="0"/>
      </w:pPr>
      <w:r>
        <w:t xml:space="preserve"> </w:t>
      </w:r>
    </w:p>
    <w:p w:rsidR="008A6DBD" w:rsidRDefault="007902A1">
      <w:pPr>
        <w:numPr>
          <w:ilvl w:val="0"/>
          <w:numId w:val="8"/>
        </w:numPr>
        <w:ind w:hanging="360"/>
      </w:pPr>
      <w:r>
        <w:t xml:space="preserve">if appropriate, recommend changes to the records management system and processes and to how compliance can be achieved. </w:t>
      </w:r>
    </w:p>
    <w:p w:rsidR="008A6DBD" w:rsidRDefault="007902A1">
      <w:pPr>
        <w:spacing w:after="0" w:line="259" w:lineRule="auto"/>
        <w:ind w:firstLine="0"/>
      </w:pPr>
      <w:r>
        <w:rPr>
          <w:b/>
        </w:rPr>
        <w:t xml:space="preserve"> </w:t>
      </w:r>
    </w:p>
    <w:p w:rsidR="008A6DBD" w:rsidRDefault="007902A1">
      <w:pPr>
        <w:pStyle w:val="Heading1"/>
        <w:tabs>
          <w:tab w:val="center" w:pos="1901"/>
        </w:tabs>
        <w:ind w:left="0" w:firstLine="0"/>
      </w:pPr>
      <w:bookmarkStart w:id="10" w:name="_Toc150869257"/>
      <w:r>
        <w:t xml:space="preserve">9. </w:t>
      </w:r>
      <w:r>
        <w:tab/>
        <w:t>Review of Policy</w:t>
      </w:r>
      <w:bookmarkEnd w:id="10"/>
      <w:r>
        <w:t xml:space="preserve"> </w:t>
      </w:r>
    </w:p>
    <w:p w:rsidR="008A6DBD" w:rsidRDefault="007902A1">
      <w:pPr>
        <w:spacing w:after="0" w:line="259" w:lineRule="auto"/>
        <w:ind w:firstLine="0"/>
      </w:pPr>
      <w:r>
        <w:rPr>
          <w:b/>
        </w:rPr>
        <w:t xml:space="preserve"> </w:t>
      </w:r>
    </w:p>
    <w:p w:rsidR="008A6DBD" w:rsidRDefault="007902A1">
      <w:pPr>
        <w:ind w:left="61"/>
      </w:pPr>
      <w:r>
        <w:t xml:space="preserve">The PHA is committed to ensuring that all policies are kept under review to ensure that they remain compliant with relevant legislation. </w:t>
      </w:r>
    </w:p>
    <w:p w:rsidR="008A6DBD" w:rsidRDefault="007902A1">
      <w:pPr>
        <w:spacing w:after="0" w:line="259" w:lineRule="auto"/>
        <w:ind w:firstLine="0"/>
      </w:pPr>
      <w:r>
        <w:t xml:space="preserve"> </w:t>
      </w:r>
    </w:p>
    <w:p w:rsidR="008A6DBD" w:rsidRDefault="007902A1">
      <w:pPr>
        <w:ind w:left="61"/>
      </w:pPr>
      <w:r>
        <w:lastRenderedPageBreak/>
        <w:t>This policy will be reviewed</w:t>
      </w:r>
      <w:r w:rsidR="00463A7D">
        <w:t xml:space="preserve"> in</w:t>
      </w:r>
      <w:r>
        <w:t xml:space="preserve"> </w:t>
      </w:r>
      <w:r w:rsidR="00F50BE3">
        <w:t>October</w:t>
      </w:r>
      <w:r>
        <w:t xml:space="preserve"> 202</w:t>
      </w:r>
      <w:r w:rsidR="00F50BE3">
        <w:t>6</w:t>
      </w:r>
      <w:r>
        <w:t xml:space="preserve"> or earlier if relevant guidance is issued.  That review will be noted on a subsequent version of this policy, even where there are no substantive changes made or required. </w:t>
      </w:r>
    </w:p>
    <w:p w:rsidR="008A6DBD" w:rsidRDefault="007902A1">
      <w:pPr>
        <w:spacing w:after="215" w:line="259" w:lineRule="auto"/>
        <w:ind w:firstLine="0"/>
      </w:pPr>
      <w:r>
        <w:t xml:space="preserve"> </w:t>
      </w:r>
    </w:p>
    <w:p w:rsidR="008A6DBD" w:rsidRDefault="007902A1">
      <w:pPr>
        <w:pStyle w:val="Heading1"/>
        <w:spacing w:after="42"/>
        <w:ind w:left="71"/>
      </w:pPr>
      <w:bookmarkStart w:id="11" w:name="_Toc150869258"/>
      <w:r>
        <w:t>10.</w:t>
      </w:r>
      <w:r>
        <w:rPr>
          <w:i/>
        </w:rPr>
        <w:t xml:space="preserve">  </w:t>
      </w:r>
      <w:r>
        <w:t>Equality and Human Rights Screening</w:t>
      </w:r>
      <w:bookmarkEnd w:id="11"/>
      <w:r>
        <w:rPr>
          <w:i/>
        </w:rPr>
        <w:t xml:space="preserve">  </w:t>
      </w:r>
    </w:p>
    <w:p w:rsidR="008A6DBD" w:rsidRDefault="007902A1">
      <w:pPr>
        <w:spacing w:after="0" w:line="259" w:lineRule="auto"/>
        <w:ind w:left="1516" w:firstLine="0"/>
      </w:pPr>
      <w:r>
        <w:rPr>
          <w:b/>
        </w:rPr>
        <w:t xml:space="preserve"> </w:t>
      </w:r>
    </w:p>
    <w:p w:rsidR="00C52556" w:rsidRDefault="007902A1">
      <w:pPr>
        <w:spacing w:after="0" w:line="240" w:lineRule="auto"/>
        <w:ind w:firstLine="0"/>
        <w:jc w:val="both"/>
      </w:pPr>
      <w:r>
        <w:t xml:space="preserve">This policy has been screened in accordance with the PHA’s requirements under Section 75 of the Northern Ireland Act 1998. Cognisance has also been taken of human rights. The policy and screening outcomes are published as part of our agreed process for publication.  </w:t>
      </w:r>
    </w:p>
    <w:p w:rsidR="00C52556" w:rsidRDefault="00C52556">
      <w:pPr>
        <w:spacing w:after="160" w:line="259" w:lineRule="auto"/>
        <w:ind w:left="0" w:firstLine="0"/>
      </w:pPr>
      <w:r>
        <w:br w:type="page"/>
      </w:r>
    </w:p>
    <w:p w:rsidR="008A6DBD" w:rsidRDefault="008A6DBD">
      <w:pPr>
        <w:spacing w:after="0" w:line="240" w:lineRule="auto"/>
        <w:ind w:firstLine="0"/>
        <w:jc w:val="both"/>
      </w:pPr>
    </w:p>
    <w:p w:rsidR="008A6DBD" w:rsidRDefault="007902A1">
      <w:pPr>
        <w:pStyle w:val="Heading2"/>
        <w:ind w:left="71"/>
      </w:pPr>
      <w:r>
        <w:t xml:space="preserve">APPENDIX 1  </w:t>
      </w:r>
    </w:p>
    <w:p w:rsidR="008A6DBD" w:rsidRDefault="007902A1">
      <w:pPr>
        <w:spacing w:after="0" w:line="259" w:lineRule="auto"/>
        <w:ind w:firstLine="0"/>
      </w:pPr>
      <w:r>
        <w:t xml:space="preserve"> </w:t>
      </w:r>
    </w:p>
    <w:p w:rsidR="008A6DBD" w:rsidRDefault="007902A1">
      <w:pPr>
        <w:ind w:left="61"/>
      </w:pPr>
      <w:r>
        <w:t xml:space="preserve">Relevant Legislative Compliance, Standards, Guidelines and </w:t>
      </w:r>
    </w:p>
    <w:p w:rsidR="008A6DBD" w:rsidRDefault="007902A1">
      <w:pPr>
        <w:ind w:left="61"/>
      </w:pPr>
      <w:r>
        <w:t xml:space="preserve">Policies </w:t>
      </w:r>
    </w:p>
    <w:p w:rsidR="008A6DBD" w:rsidRDefault="007902A1">
      <w:pPr>
        <w:spacing w:after="0" w:line="259" w:lineRule="auto"/>
        <w:ind w:firstLine="0"/>
      </w:pPr>
      <w:r>
        <w:t xml:space="preserve"> </w:t>
      </w:r>
    </w:p>
    <w:p w:rsidR="008A6DBD" w:rsidRDefault="00A56202">
      <w:pPr>
        <w:numPr>
          <w:ilvl w:val="0"/>
          <w:numId w:val="9"/>
        </w:numPr>
        <w:spacing w:after="155"/>
        <w:ind w:hanging="426"/>
      </w:pPr>
      <w:hyperlink r:id="rId8">
        <w:r w:rsidR="007902A1">
          <w:t>The Access to Health Records (Northern Ireland) Order 1993</w:t>
        </w:r>
      </w:hyperlink>
      <w:hyperlink r:id="rId9">
        <w:r w:rsidR="007902A1">
          <w:t xml:space="preserve"> </w:t>
        </w:r>
      </w:hyperlink>
      <w:r w:rsidR="007902A1">
        <w:t xml:space="preserve"> </w:t>
      </w:r>
    </w:p>
    <w:p w:rsidR="008A6DBD" w:rsidRDefault="00A56202">
      <w:pPr>
        <w:numPr>
          <w:ilvl w:val="0"/>
          <w:numId w:val="9"/>
        </w:numPr>
        <w:ind w:hanging="426"/>
      </w:pPr>
      <w:hyperlink r:id="rId10">
        <w:r w:rsidR="007902A1">
          <w:t xml:space="preserve">The Access to Personal Files and Medical Reports (Northern </w:t>
        </w:r>
      </w:hyperlink>
    </w:p>
    <w:p w:rsidR="008A6DBD" w:rsidRDefault="00A56202">
      <w:pPr>
        <w:spacing w:after="208"/>
        <w:ind w:left="436"/>
      </w:pPr>
      <w:hyperlink r:id="rId11">
        <w:r w:rsidR="007902A1">
          <w:t>Ireland) Order 1991</w:t>
        </w:r>
      </w:hyperlink>
      <w:hyperlink r:id="rId12">
        <w:r w:rsidR="007902A1">
          <w:t xml:space="preserve"> </w:t>
        </w:r>
      </w:hyperlink>
      <w:r w:rsidR="007902A1">
        <w:t xml:space="preserve"> </w:t>
      </w:r>
    </w:p>
    <w:p w:rsidR="008A6DBD" w:rsidRDefault="007902A1">
      <w:pPr>
        <w:numPr>
          <w:ilvl w:val="0"/>
          <w:numId w:val="9"/>
        </w:numPr>
        <w:ind w:hanging="426"/>
      </w:pPr>
      <w:r>
        <w:t xml:space="preserve">The Common Law Duty of Confidentiality </w:t>
      </w:r>
    </w:p>
    <w:p w:rsidR="00F50BE3" w:rsidRDefault="00F50BE3" w:rsidP="00F50BE3">
      <w:pPr>
        <w:ind w:left="487" w:hanging="345"/>
      </w:pPr>
    </w:p>
    <w:p w:rsidR="00F50BE3" w:rsidRPr="00F50BE3" w:rsidRDefault="00F50BE3" w:rsidP="00F50BE3">
      <w:pPr>
        <w:pStyle w:val="ListParagraph"/>
        <w:numPr>
          <w:ilvl w:val="0"/>
          <w:numId w:val="9"/>
        </w:numPr>
        <w:spacing w:after="208"/>
        <w:ind w:hanging="487"/>
        <w:rPr>
          <w:color w:val="auto"/>
        </w:rPr>
      </w:pPr>
      <w:r w:rsidRPr="00F50BE3">
        <w:rPr>
          <w:color w:val="auto"/>
        </w:rPr>
        <w:t>The (</w:t>
      </w:r>
      <w:proofErr w:type="spellStart"/>
      <w:r w:rsidRPr="00F50BE3">
        <w:rPr>
          <w:color w:val="auto"/>
        </w:rPr>
        <w:t>DoH</w:t>
      </w:r>
      <w:proofErr w:type="spellEnd"/>
      <w:r w:rsidRPr="00F50BE3">
        <w:rPr>
          <w:color w:val="auto"/>
        </w:rPr>
        <w:t>) Code of Practice on protecting the Confidentiality of Service User Information (April 2019)</w:t>
      </w:r>
      <w:hyperlink r:id="rId13">
        <w:r w:rsidRPr="00F50BE3">
          <w:rPr>
            <w:color w:val="auto"/>
          </w:rPr>
          <w:t xml:space="preserve"> </w:t>
        </w:r>
      </w:hyperlink>
    </w:p>
    <w:p w:rsidR="008A6DBD" w:rsidRPr="00F50BE3" w:rsidRDefault="00A56202">
      <w:pPr>
        <w:numPr>
          <w:ilvl w:val="0"/>
          <w:numId w:val="9"/>
        </w:numPr>
        <w:spacing w:after="155"/>
        <w:ind w:hanging="426"/>
        <w:rPr>
          <w:color w:val="auto"/>
        </w:rPr>
      </w:pPr>
      <w:hyperlink r:id="rId14">
        <w:r w:rsidR="007902A1" w:rsidRPr="00F50BE3">
          <w:rPr>
            <w:color w:val="auto"/>
          </w:rPr>
          <w:t>The Computer Misuse Act 1990</w:t>
        </w:r>
      </w:hyperlink>
      <w:hyperlink r:id="rId15">
        <w:r w:rsidR="007902A1" w:rsidRPr="00F50BE3">
          <w:rPr>
            <w:color w:val="auto"/>
          </w:rPr>
          <w:t xml:space="preserve"> </w:t>
        </w:r>
      </w:hyperlink>
      <w:r w:rsidR="007902A1" w:rsidRPr="00F50BE3">
        <w:rPr>
          <w:color w:val="auto"/>
        </w:rPr>
        <w:t xml:space="preserve"> </w:t>
      </w:r>
    </w:p>
    <w:p w:rsidR="008A6DBD" w:rsidRDefault="00463A7D">
      <w:pPr>
        <w:numPr>
          <w:ilvl w:val="0"/>
          <w:numId w:val="9"/>
        </w:numPr>
        <w:spacing w:after="155"/>
        <w:ind w:hanging="426"/>
      </w:pPr>
      <w:r w:rsidRPr="00F50BE3">
        <w:rPr>
          <w:color w:val="auto"/>
        </w:rPr>
        <w:t xml:space="preserve">UK </w:t>
      </w:r>
      <w:r w:rsidR="007902A1" w:rsidRPr="00F50BE3">
        <w:rPr>
          <w:color w:val="auto"/>
        </w:rPr>
        <w:t>General Data Protection Regulation</w:t>
      </w:r>
      <w:r w:rsidRPr="00F50BE3">
        <w:rPr>
          <w:color w:val="auto"/>
        </w:rPr>
        <w:t>s</w:t>
      </w:r>
      <w:r w:rsidR="007902A1" w:rsidRPr="00F50BE3">
        <w:rPr>
          <w:color w:val="auto"/>
        </w:rPr>
        <w:t xml:space="preserve"> </w:t>
      </w:r>
      <w:r w:rsidR="007902A1">
        <w:t>(GDPR)</w:t>
      </w:r>
      <w:r>
        <w:t xml:space="preserve"> </w:t>
      </w:r>
      <w:r w:rsidRPr="003D0F2A">
        <w:rPr>
          <w:color w:val="auto"/>
        </w:rPr>
        <w:t>2018</w:t>
      </w:r>
      <w:r w:rsidR="007902A1" w:rsidRPr="003D0F2A">
        <w:rPr>
          <w:color w:val="auto"/>
        </w:rPr>
        <w:t xml:space="preserve">  </w:t>
      </w:r>
    </w:p>
    <w:p w:rsidR="008A6DBD" w:rsidRDefault="007902A1">
      <w:pPr>
        <w:numPr>
          <w:ilvl w:val="0"/>
          <w:numId w:val="9"/>
        </w:numPr>
        <w:spacing w:after="154"/>
        <w:ind w:hanging="426"/>
      </w:pPr>
      <w:r>
        <w:t xml:space="preserve">The Data Protection Act (DPA) 2018 </w:t>
      </w:r>
    </w:p>
    <w:p w:rsidR="008A6DBD" w:rsidRDefault="00A56202">
      <w:pPr>
        <w:numPr>
          <w:ilvl w:val="0"/>
          <w:numId w:val="9"/>
        </w:numPr>
        <w:spacing w:after="210"/>
        <w:ind w:hanging="426"/>
      </w:pPr>
      <w:hyperlink r:id="rId16">
        <w:r w:rsidR="007902A1">
          <w:t xml:space="preserve">The Data Protection (Processing of Sensitive Personal Data) </w:t>
        </w:r>
      </w:hyperlink>
      <w:hyperlink r:id="rId17">
        <w:r w:rsidR="007902A1">
          <w:t>Order 2000</w:t>
        </w:r>
      </w:hyperlink>
      <w:hyperlink r:id="rId18">
        <w:r w:rsidR="007902A1">
          <w:t xml:space="preserve"> </w:t>
        </w:r>
      </w:hyperlink>
      <w:r w:rsidR="007902A1">
        <w:t xml:space="preserve"> </w:t>
      </w:r>
    </w:p>
    <w:p w:rsidR="008A6DBD" w:rsidRDefault="00A56202">
      <w:pPr>
        <w:numPr>
          <w:ilvl w:val="0"/>
          <w:numId w:val="9"/>
        </w:numPr>
        <w:spacing w:after="155"/>
        <w:ind w:hanging="426"/>
      </w:pPr>
      <w:hyperlink r:id="rId19">
        <w:r w:rsidR="007902A1">
          <w:t>The Electronic Communications Act 2000</w:t>
        </w:r>
      </w:hyperlink>
      <w:hyperlink r:id="rId20">
        <w:r w:rsidR="007902A1">
          <w:t xml:space="preserve"> </w:t>
        </w:r>
      </w:hyperlink>
      <w:r w:rsidR="007902A1">
        <w:t xml:space="preserve"> </w:t>
      </w:r>
    </w:p>
    <w:p w:rsidR="008A6DBD" w:rsidRDefault="00A56202">
      <w:pPr>
        <w:numPr>
          <w:ilvl w:val="0"/>
          <w:numId w:val="9"/>
        </w:numPr>
        <w:spacing w:after="155"/>
        <w:ind w:hanging="426"/>
      </w:pPr>
      <w:hyperlink r:id="rId21">
        <w:r w:rsidR="007902A1">
          <w:t>The Environmental Information Regulations 2004</w:t>
        </w:r>
      </w:hyperlink>
      <w:hyperlink r:id="rId22">
        <w:r w:rsidR="007902A1">
          <w:t xml:space="preserve"> </w:t>
        </w:r>
      </w:hyperlink>
    </w:p>
    <w:p w:rsidR="008A6DBD" w:rsidRDefault="00A56202">
      <w:pPr>
        <w:numPr>
          <w:ilvl w:val="0"/>
          <w:numId w:val="9"/>
        </w:numPr>
        <w:spacing w:after="156"/>
        <w:ind w:hanging="426"/>
      </w:pPr>
      <w:hyperlink r:id="rId23">
        <w:r w:rsidR="007902A1">
          <w:t>The Freedom of</w:t>
        </w:r>
      </w:hyperlink>
      <w:hyperlink r:id="rId24">
        <w:r w:rsidR="007902A1">
          <w:t xml:space="preserve"> </w:t>
        </w:r>
      </w:hyperlink>
      <w:hyperlink r:id="rId25">
        <w:r w:rsidR="007902A1">
          <w:t>Information Act (FOIA) 2000</w:t>
        </w:r>
      </w:hyperlink>
      <w:hyperlink r:id="rId26">
        <w:r w:rsidR="007902A1">
          <w:t xml:space="preserve"> </w:t>
        </w:r>
      </w:hyperlink>
    </w:p>
    <w:p w:rsidR="008A6DBD" w:rsidRDefault="00A56202">
      <w:pPr>
        <w:numPr>
          <w:ilvl w:val="0"/>
          <w:numId w:val="9"/>
        </w:numPr>
        <w:ind w:hanging="426"/>
      </w:pPr>
      <w:hyperlink r:id="rId27">
        <w:r w:rsidR="007902A1">
          <w:t xml:space="preserve">The Privacy and Electronic Communications (EC Directive) </w:t>
        </w:r>
      </w:hyperlink>
    </w:p>
    <w:p w:rsidR="008A6DBD" w:rsidRDefault="00A56202">
      <w:pPr>
        <w:spacing w:after="207"/>
        <w:ind w:left="436"/>
      </w:pPr>
      <w:hyperlink r:id="rId28">
        <w:r w:rsidR="007902A1">
          <w:t>Regulations 2003</w:t>
        </w:r>
      </w:hyperlink>
      <w:hyperlink r:id="rId29">
        <w:r w:rsidR="007902A1">
          <w:t xml:space="preserve"> </w:t>
        </w:r>
      </w:hyperlink>
      <w:r w:rsidR="007902A1">
        <w:t xml:space="preserve"> </w:t>
      </w:r>
    </w:p>
    <w:p w:rsidR="008A6DBD" w:rsidRDefault="00A56202">
      <w:pPr>
        <w:numPr>
          <w:ilvl w:val="0"/>
          <w:numId w:val="9"/>
        </w:numPr>
        <w:spacing w:after="154"/>
        <w:ind w:hanging="426"/>
      </w:pPr>
      <w:hyperlink r:id="rId30">
        <w:r w:rsidR="007902A1">
          <w:t>Public Health Act (Northern Ireland) 1967</w:t>
        </w:r>
      </w:hyperlink>
      <w:hyperlink r:id="rId31">
        <w:r w:rsidR="007902A1">
          <w:t xml:space="preserve"> </w:t>
        </w:r>
      </w:hyperlink>
      <w:r w:rsidR="007902A1">
        <w:t xml:space="preserve"> </w:t>
      </w:r>
    </w:p>
    <w:p w:rsidR="008A6DBD" w:rsidRDefault="00A56202">
      <w:pPr>
        <w:numPr>
          <w:ilvl w:val="0"/>
          <w:numId w:val="9"/>
        </w:numPr>
        <w:spacing w:after="154"/>
        <w:ind w:hanging="426"/>
      </w:pPr>
      <w:hyperlink r:id="rId32">
        <w:r w:rsidR="007902A1">
          <w:t>The Public Interest Disclosure (Northern Ireland) Order 1998</w:t>
        </w:r>
      </w:hyperlink>
      <w:hyperlink r:id="rId33">
        <w:r w:rsidR="007902A1">
          <w:t xml:space="preserve"> </w:t>
        </w:r>
      </w:hyperlink>
      <w:r w:rsidR="007902A1">
        <w:t xml:space="preserve"> </w:t>
      </w:r>
    </w:p>
    <w:p w:rsidR="008A6DBD" w:rsidRDefault="00A56202">
      <w:pPr>
        <w:numPr>
          <w:ilvl w:val="0"/>
          <w:numId w:val="9"/>
        </w:numPr>
        <w:spacing w:after="155"/>
        <w:ind w:hanging="426"/>
      </w:pPr>
      <w:hyperlink r:id="rId34">
        <w:r w:rsidR="007902A1">
          <w:t>The Public Records Act (Northern Ireland) 1923</w:t>
        </w:r>
      </w:hyperlink>
      <w:hyperlink r:id="rId35">
        <w:r w:rsidR="007902A1">
          <w:t xml:space="preserve"> </w:t>
        </w:r>
      </w:hyperlink>
      <w:r w:rsidR="007902A1">
        <w:t xml:space="preserve"> </w:t>
      </w:r>
    </w:p>
    <w:p w:rsidR="008A6DBD" w:rsidRDefault="00A56202">
      <w:pPr>
        <w:numPr>
          <w:ilvl w:val="0"/>
          <w:numId w:val="9"/>
        </w:numPr>
        <w:spacing w:after="155"/>
        <w:ind w:hanging="426"/>
      </w:pPr>
      <w:hyperlink r:id="rId36">
        <w:r w:rsidR="007902A1">
          <w:t>Disposal of Documents Order (Northern Ireland)1925</w:t>
        </w:r>
      </w:hyperlink>
      <w:hyperlink r:id="rId37">
        <w:r w:rsidR="007902A1">
          <w:t xml:space="preserve"> </w:t>
        </w:r>
      </w:hyperlink>
      <w:r w:rsidR="007902A1">
        <w:t xml:space="preserve"> </w:t>
      </w:r>
    </w:p>
    <w:p w:rsidR="00463A7D" w:rsidRDefault="00A56202">
      <w:pPr>
        <w:numPr>
          <w:ilvl w:val="0"/>
          <w:numId w:val="9"/>
        </w:numPr>
        <w:spacing w:after="45"/>
        <w:ind w:hanging="426"/>
      </w:pPr>
      <w:hyperlink r:id="rId38">
        <w:r w:rsidR="007902A1">
          <w:t>The Re</w:t>
        </w:r>
      </w:hyperlink>
      <w:hyperlink r:id="rId39">
        <w:r w:rsidR="007902A1">
          <w:t>-</w:t>
        </w:r>
      </w:hyperlink>
      <w:hyperlink r:id="rId40">
        <w:r w:rsidR="007902A1">
          <w:t>use of Public Sector Information Regulations 2005</w:t>
        </w:r>
      </w:hyperlink>
      <w:hyperlink r:id="rId41">
        <w:r w:rsidR="007902A1">
          <w:t xml:space="preserve"> </w:t>
        </w:r>
      </w:hyperlink>
    </w:p>
    <w:p w:rsidR="003D0F2A" w:rsidRDefault="003D0F2A" w:rsidP="003D0F2A">
      <w:pPr>
        <w:spacing w:after="45"/>
        <w:ind w:left="487" w:firstLine="0"/>
      </w:pPr>
    </w:p>
    <w:p w:rsidR="008A6DBD" w:rsidRDefault="007902A1">
      <w:pPr>
        <w:numPr>
          <w:ilvl w:val="0"/>
          <w:numId w:val="9"/>
        </w:numPr>
        <w:spacing w:after="45"/>
        <w:ind w:hanging="426"/>
      </w:pPr>
      <w:r>
        <w:t xml:space="preserve">Lord Chancellor’s Code of Practice on the management of records issued under </w:t>
      </w:r>
      <w:r w:rsidR="00463A7D">
        <w:t>S</w:t>
      </w:r>
      <w:r>
        <w:t xml:space="preserve">ection 46 of the Freedom of Information Act 2000 </w:t>
      </w:r>
    </w:p>
    <w:p w:rsidR="00C52556" w:rsidRDefault="00C52556" w:rsidP="00C52556">
      <w:pPr>
        <w:spacing w:after="45"/>
        <w:ind w:left="487" w:firstLine="0"/>
      </w:pPr>
    </w:p>
    <w:p w:rsidR="008A6DBD" w:rsidRDefault="007902A1">
      <w:pPr>
        <w:numPr>
          <w:ilvl w:val="0"/>
          <w:numId w:val="9"/>
        </w:numPr>
        <w:ind w:hanging="426"/>
      </w:pPr>
      <w:proofErr w:type="spellStart"/>
      <w:r>
        <w:t>DoH</w:t>
      </w:r>
      <w:proofErr w:type="spellEnd"/>
      <w:r>
        <w:t xml:space="preserve"> Good Management Good Records, Guidance for </w:t>
      </w:r>
    </w:p>
    <w:p w:rsidR="008A6DBD" w:rsidRDefault="007902A1">
      <w:pPr>
        <w:ind w:left="502"/>
      </w:pPr>
      <w:r>
        <w:t xml:space="preserve">Management </w:t>
      </w:r>
      <w:r w:rsidR="00463A7D">
        <w:t xml:space="preserve">of </w:t>
      </w:r>
      <w:r>
        <w:t xml:space="preserve">Records </w:t>
      </w:r>
      <w:r w:rsidR="00C52556">
        <w:t>2017</w:t>
      </w:r>
      <w:r>
        <w:t xml:space="preserve"> </w:t>
      </w:r>
    </w:p>
    <w:p w:rsidR="008A6DBD" w:rsidRDefault="007902A1">
      <w:pPr>
        <w:spacing w:after="0" w:line="259" w:lineRule="auto"/>
        <w:ind w:left="502" w:firstLine="0"/>
      </w:pPr>
      <w:r>
        <w:t xml:space="preserve"> </w:t>
      </w:r>
    </w:p>
    <w:p w:rsidR="008A6DBD" w:rsidRDefault="007902A1">
      <w:pPr>
        <w:numPr>
          <w:ilvl w:val="0"/>
          <w:numId w:val="9"/>
        </w:numPr>
        <w:spacing w:after="211"/>
        <w:ind w:hanging="426"/>
      </w:pPr>
      <w:r>
        <w:t xml:space="preserve">PRONI, The Northern Ireland Records Management Standards (NIRMS) </w:t>
      </w:r>
    </w:p>
    <w:p w:rsidR="008A6DBD" w:rsidRDefault="007902A1">
      <w:pPr>
        <w:numPr>
          <w:ilvl w:val="0"/>
          <w:numId w:val="9"/>
        </w:numPr>
        <w:ind w:hanging="426"/>
      </w:pPr>
      <w:r>
        <w:t xml:space="preserve">Professional Codes of Conduct  </w:t>
      </w:r>
    </w:p>
    <w:p w:rsidR="008A6DBD" w:rsidRDefault="007902A1">
      <w:pPr>
        <w:spacing w:after="0" w:line="259" w:lineRule="auto"/>
        <w:ind w:left="436" w:firstLine="0"/>
      </w:pPr>
      <w:r>
        <w:t xml:space="preserve"> </w:t>
      </w:r>
    </w:p>
    <w:p w:rsidR="008A6DBD" w:rsidRDefault="007902A1">
      <w:pPr>
        <w:numPr>
          <w:ilvl w:val="0"/>
          <w:numId w:val="9"/>
        </w:numPr>
        <w:ind w:hanging="426"/>
      </w:pPr>
      <w:r>
        <w:t>BS ISO/IEC 17799:2005 BS ISO/IEC 27001:2005 BS 7799-</w:t>
      </w:r>
    </w:p>
    <w:p w:rsidR="008A6DBD" w:rsidRDefault="007902A1">
      <w:pPr>
        <w:spacing w:after="206"/>
        <w:ind w:left="436"/>
      </w:pPr>
      <w:r>
        <w:t xml:space="preserve">2:2005 (Information Security management) </w:t>
      </w:r>
    </w:p>
    <w:p w:rsidR="008A6DBD" w:rsidRDefault="007902A1">
      <w:pPr>
        <w:numPr>
          <w:ilvl w:val="0"/>
          <w:numId w:val="9"/>
        </w:numPr>
        <w:spacing w:after="157"/>
        <w:ind w:hanging="426"/>
      </w:pPr>
      <w:r>
        <w:t xml:space="preserve">ISO 15489 International Standards on Records Management </w:t>
      </w:r>
    </w:p>
    <w:p w:rsidR="008A6DBD" w:rsidRDefault="007902A1">
      <w:pPr>
        <w:numPr>
          <w:ilvl w:val="0"/>
          <w:numId w:val="9"/>
        </w:numPr>
        <w:spacing w:after="211"/>
        <w:ind w:hanging="426"/>
      </w:pPr>
      <w:r>
        <w:t>ISO 19005 – 1:2005 Electronic Document File Format for Long</w:t>
      </w:r>
      <w:r w:rsidR="00463A7D">
        <w:t xml:space="preserve"> </w:t>
      </w:r>
      <w:r>
        <w:t xml:space="preserve">Term Preservation  </w:t>
      </w:r>
    </w:p>
    <w:p w:rsidR="008A6DBD" w:rsidRDefault="007902A1">
      <w:pPr>
        <w:numPr>
          <w:ilvl w:val="0"/>
          <w:numId w:val="9"/>
        </w:numPr>
        <w:spacing w:after="189"/>
        <w:ind w:hanging="426"/>
      </w:pPr>
      <w:r>
        <w:t xml:space="preserve">BSI DISC BIP 0008 British Standards on Electronic Information Management </w:t>
      </w:r>
    </w:p>
    <w:p w:rsidR="008A6DBD" w:rsidRDefault="007902A1">
      <w:pPr>
        <w:spacing w:after="176" w:line="259" w:lineRule="auto"/>
        <w:ind w:left="436" w:firstLine="0"/>
      </w:pPr>
      <w:r>
        <w:t xml:space="preserve"> </w:t>
      </w:r>
    </w:p>
    <w:p w:rsidR="008A6DBD" w:rsidRDefault="007902A1">
      <w:pPr>
        <w:spacing w:after="0" w:line="259" w:lineRule="auto"/>
        <w:ind w:left="502" w:firstLine="0"/>
      </w:pPr>
      <w:r>
        <w:t xml:space="preserve"> </w:t>
      </w:r>
    </w:p>
    <w:p w:rsidR="00D334AC" w:rsidRDefault="007902A1">
      <w:pPr>
        <w:spacing w:after="0" w:line="259" w:lineRule="auto"/>
        <w:ind w:firstLine="0"/>
      </w:pPr>
      <w:r>
        <w:t xml:space="preserve"> </w:t>
      </w:r>
    </w:p>
    <w:p w:rsidR="00D334AC" w:rsidRDefault="00D334AC">
      <w:pPr>
        <w:spacing w:after="160" w:line="259" w:lineRule="auto"/>
        <w:ind w:left="0" w:firstLine="0"/>
      </w:pPr>
      <w:r>
        <w:br w:type="page"/>
      </w:r>
    </w:p>
    <w:p w:rsidR="00D334AC" w:rsidRDefault="00D334AC" w:rsidP="00D334AC">
      <w:pPr>
        <w:tabs>
          <w:tab w:val="center" w:pos="5416"/>
        </w:tabs>
        <w:spacing w:after="0" w:line="259" w:lineRule="auto"/>
        <w:ind w:left="0" w:firstLine="0"/>
        <w:rPr>
          <w:b/>
          <w:sz w:val="44"/>
        </w:rPr>
      </w:pPr>
      <w:r>
        <w:rPr>
          <w:b/>
          <w:sz w:val="44"/>
        </w:rPr>
        <w:lastRenderedPageBreak/>
        <w:t xml:space="preserve">Version Control  </w:t>
      </w:r>
    </w:p>
    <w:p w:rsidR="00D334AC" w:rsidRDefault="00D334AC" w:rsidP="00D334AC">
      <w:pPr>
        <w:tabs>
          <w:tab w:val="center" w:pos="5416"/>
        </w:tabs>
        <w:spacing w:after="0" w:line="259" w:lineRule="auto"/>
        <w:ind w:left="0" w:firstLine="0"/>
        <w:rPr>
          <w:b/>
          <w:sz w:val="44"/>
        </w:rPr>
      </w:pPr>
    </w:p>
    <w:p w:rsidR="00D334AC" w:rsidRDefault="00D334AC" w:rsidP="00D334AC">
      <w:pPr>
        <w:tabs>
          <w:tab w:val="center" w:pos="5416"/>
        </w:tabs>
        <w:spacing w:after="0" w:line="259" w:lineRule="auto"/>
        <w:ind w:left="0" w:firstLine="0"/>
        <w:rPr>
          <w:b/>
          <w:sz w:val="4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4"/>
        <w:gridCol w:w="1703"/>
      </w:tblGrid>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Pr>
                <w:szCs w:val="28"/>
              </w:rPr>
              <w:t>Version 1.3 - approvals</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C54BBA">
            <w:pPr>
              <w:autoSpaceDE w:val="0"/>
              <w:autoSpaceDN w:val="0"/>
              <w:adjustRightInd w:val="0"/>
              <w:spacing w:after="0" w:line="240" w:lineRule="auto"/>
              <w:jc w:val="right"/>
              <w:rPr>
                <w:sz w:val="24"/>
                <w:szCs w:val="24"/>
              </w:rPr>
            </w:pP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IGSG</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C54BBA">
            <w:pPr>
              <w:autoSpaceDE w:val="0"/>
              <w:autoSpaceDN w:val="0"/>
              <w:adjustRightInd w:val="0"/>
              <w:spacing w:after="0" w:line="240" w:lineRule="auto"/>
              <w:jc w:val="right"/>
              <w:rPr>
                <w:sz w:val="24"/>
                <w:szCs w:val="24"/>
              </w:rPr>
            </w:pPr>
            <w:r w:rsidRPr="006B4504">
              <w:rPr>
                <w:sz w:val="24"/>
                <w:szCs w:val="24"/>
              </w:rPr>
              <w:t>29/01/2020</w:t>
            </w: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 xml:space="preserve">AMT </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C54BBA">
            <w:pPr>
              <w:autoSpaceDE w:val="0"/>
              <w:autoSpaceDN w:val="0"/>
              <w:adjustRightInd w:val="0"/>
              <w:spacing w:after="0" w:line="240" w:lineRule="auto"/>
              <w:jc w:val="right"/>
              <w:rPr>
                <w:sz w:val="24"/>
                <w:szCs w:val="24"/>
              </w:rPr>
            </w:pPr>
            <w:r w:rsidRPr="006B4504">
              <w:rPr>
                <w:sz w:val="24"/>
                <w:szCs w:val="24"/>
              </w:rPr>
              <w:t>11/02/2020</w:t>
            </w: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GAC</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C54BBA">
            <w:pPr>
              <w:autoSpaceDE w:val="0"/>
              <w:autoSpaceDN w:val="0"/>
              <w:adjustRightInd w:val="0"/>
              <w:spacing w:after="0" w:line="240" w:lineRule="auto"/>
              <w:jc w:val="right"/>
              <w:rPr>
                <w:sz w:val="24"/>
                <w:szCs w:val="24"/>
              </w:rPr>
            </w:pPr>
            <w:r w:rsidRPr="006B4504">
              <w:rPr>
                <w:sz w:val="24"/>
                <w:szCs w:val="24"/>
              </w:rPr>
              <w:t>28/02/2020</w:t>
            </w: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C54BBA">
            <w:pPr>
              <w:autoSpaceDE w:val="0"/>
              <w:autoSpaceDN w:val="0"/>
              <w:adjustRightInd w:val="0"/>
              <w:spacing w:after="0" w:line="240" w:lineRule="auto"/>
              <w:rPr>
                <w:szCs w:val="28"/>
              </w:rPr>
            </w:pP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C54BBA">
            <w:pPr>
              <w:autoSpaceDE w:val="0"/>
              <w:autoSpaceDN w:val="0"/>
              <w:adjustRightInd w:val="0"/>
              <w:spacing w:after="0" w:line="240" w:lineRule="auto"/>
              <w:jc w:val="right"/>
              <w:rPr>
                <w:sz w:val="24"/>
                <w:szCs w:val="24"/>
              </w:rPr>
            </w:pP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Version 1.2</w:t>
            </w:r>
            <w:r>
              <w:rPr>
                <w:szCs w:val="28"/>
              </w:rPr>
              <w:t xml:space="preserve"> - approvals</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C54BBA">
            <w:pPr>
              <w:autoSpaceDE w:val="0"/>
              <w:autoSpaceDN w:val="0"/>
              <w:adjustRightInd w:val="0"/>
              <w:spacing w:after="0" w:line="240" w:lineRule="auto"/>
              <w:jc w:val="right"/>
              <w:rPr>
                <w:sz w:val="24"/>
                <w:szCs w:val="24"/>
              </w:rPr>
            </w:pP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IGSG</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jc w:val="right"/>
              <w:rPr>
                <w:sz w:val="24"/>
                <w:szCs w:val="24"/>
              </w:rPr>
            </w:pPr>
            <w:r w:rsidRPr="006B4504">
              <w:rPr>
                <w:sz w:val="24"/>
                <w:szCs w:val="24"/>
              </w:rPr>
              <w:t>19/01/2016</w:t>
            </w: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GAC</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spacing w:after="0" w:line="259" w:lineRule="auto"/>
              <w:ind w:left="0" w:firstLine="0"/>
              <w:jc w:val="right"/>
              <w:rPr>
                <w:sz w:val="24"/>
                <w:szCs w:val="24"/>
              </w:rPr>
            </w:pPr>
            <w:r w:rsidRPr="006B4504">
              <w:rPr>
                <w:sz w:val="24"/>
                <w:szCs w:val="24"/>
              </w:rPr>
              <w:t>04/02/2016</w:t>
            </w: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PHA Board</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jc w:val="right"/>
              <w:rPr>
                <w:sz w:val="24"/>
                <w:szCs w:val="24"/>
              </w:rPr>
            </w:pPr>
            <w:r w:rsidRPr="006B4504">
              <w:rPr>
                <w:sz w:val="24"/>
                <w:szCs w:val="24"/>
              </w:rPr>
              <w:t>18/02/2016</w:t>
            </w: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rPr>
                <w:szCs w:val="28"/>
              </w:rPr>
            </w:pP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jc w:val="right"/>
              <w:rPr>
                <w:sz w:val="24"/>
                <w:szCs w:val="24"/>
              </w:rPr>
            </w:pPr>
          </w:p>
        </w:tc>
      </w:tr>
      <w:tr w:rsidR="00D334AC" w:rsidRPr="006B4504" w:rsidTr="00C54BBA">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rPr>
                <w:szCs w:val="28"/>
              </w:rPr>
            </w:pPr>
            <w:r w:rsidRPr="006B4504">
              <w:rPr>
                <w:szCs w:val="28"/>
              </w:rPr>
              <w:t>Version 1.1</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jc w:val="right"/>
              <w:rPr>
                <w:sz w:val="24"/>
                <w:szCs w:val="24"/>
              </w:rPr>
            </w:pPr>
          </w:p>
        </w:tc>
      </w:tr>
      <w:tr w:rsidR="00D334AC" w:rsidRPr="006B4504" w:rsidTr="00D334AC">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IGSG</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jc w:val="right"/>
              <w:rPr>
                <w:sz w:val="24"/>
                <w:szCs w:val="24"/>
              </w:rPr>
            </w:pPr>
            <w:r w:rsidRPr="006B4504">
              <w:rPr>
                <w:sz w:val="24"/>
                <w:szCs w:val="24"/>
              </w:rPr>
              <w:t>07/06/12</w:t>
            </w:r>
          </w:p>
        </w:tc>
      </w:tr>
      <w:tr w:rsidR="00D334AC" w:rsidRPr="006B4504" w:rsidTr="00D334AC">
        <w:tc>
          <w:tcPr>
            <w:tcW w:w="5854"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ind w:left="0" w:firstLine="0"/>
              <w:rPr>
                <w:szCs w:val="28"/>
              </w:rPr>
            </w:pPr>
            <w:r w:rsidRPr="006B4504">
              <w:rPr>
                <w:szCs w:val="28"/>
              </w:rPr>
              <w:t>AMT</w:t>
            </w:r>
          </w:p>
        </w:tc>
        <w:tc>
          <w:tcPr>
            <w:tcW w:w="1703" w:type="dxa"/>
            <w:tcBorders>
              <w:top w:val="single" w:sz="4" w:space="0" w:color="auto"/>
              <w:left w:val="single" w:sz="4" w:space="0" w:color="auto"/>
              <w:bottom w:val="single" w:sz="4" w:space="0" w:color="auto"/>
              <w:right w:val="single" w:sz="4" w:space="0" w:color="auto"/>
            </w:tcBorders>
          </w:tcPr>
          <w:p w:rsidR="00D334AC" w:rsidRPr="006B4504" w:rsidRDefault="00D334AC" w:rsidP="00D334AC">
            <w:pPr>
              <w:autoSpaceDE w:val="0"/>
              <w:autoSpaceDN w:val="0"/>
              <w:adjustRightInd w:val="0"/>
              <w:spacing w:after="0" w:line="240" w:lineRule="auto"/>
              <w:jc w:val="right"/>
              <w:rPr>
                <w:sz w:val="24"/>
                <w:szCs w:val="24"/>
              </w:rPr>
            </w:pPr>
            <w:r w:rsidRPr="006B4504">
              <w:rPr>
                <w:sz w:val="24"/>
                <w:szCs w:val="24"/>
              </w:rPr>
              <w:t>26/07/2012</w:t>
            </w:r>
          </w:p>
        </w:tc>
      </w:tr>
    </w:tbl>
    <w:p w:rsidR="00D334AC" w:rsidRPr="006B4504" w:rsidRDefault="00D334AC" w:rsidP="00D334AC">
      <w:pPr>
        <w:tabs>
          <w:tab w:val="center" w:pos="5416"/>
        </w:tabs>
        <w:spacing w:after="0" w:line="259" w:lineRule="auto"/>
        <w:ind w:left="0" w:firstLine="0"/>
        <w:rPr>
          <w:sz w:val="44"/>
        </w:rPr>
      </w:pPr>
    </w:p>
    <w:p w:rsidR="008A6DBD" w:rsidRDefault="008A6DBD">
      <w:pPr>
        <w:spacing w:after="0" w:line="259" w:lineRule="auto"/>
        <w:ind w:firstLine="0"/>
      </w:pPr>
    </w:p>
    <w:sectPr w:rsidR="008A6DBD">
      <w:footerReference w:type="even" r:id="rId42"/>
      <w:footerReference w:type="default" r:id="rId43"/>
      <w:footerReference w:type="first" r:id="rId44"/>
      <w:footnotePr>
        <w:numRestart w:val="eachPage"/>
      </w:footnotePr>
      <w:pgSz w:w="11906" w:h="16838"/>
      <w:pgMar w:top="1449" w:right="1705" w:bottom="1782" w:left="1626"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FE5" w:rsidRDefault="00322FE5">
      <w:pPr>
        <w:spacing w:after="0" w:line="240" w:lineRule="auto"/>
      </w:pPr>
      <w:r>
        <w:separator/>
      </w:r>
    </w:p>
  </w:endnote>
  <w:endnote w:type="continuationSeparator" w:id="0">
    <w:p w:rsidR="00322FE5" w:rsidRDefault="0032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BD" w:rsidRDefault="007902A1">
    <w:pPr>
      <w:spacing w:after="0" w:line="259" w:lineRule="auto"/>
      <w:ind w:left="0" w:right="-6" w:firstLine="0"/>
      <w:jc w:val="right"/>
    </w:pPr>
    <w:r>
      <w:rPr>
        <w:rFonts w:ascii="Tahoma" w:eastAsia="Tahoma" w:hAnsi="Tahoma" w:cs="Tahoma"/>
        <w:sz w:val="24"/>
      </w:rPr>
      <w:t xml:space="preserve">Page </w:t>
    </w:r>
    <w:r>
      <w:fldChar w:fldCharType="begin"/>
    </w:r>
    <w:r>
      <w:instrText xml:space="preserve"> PAGE   \* MERGEFORMAT </w:instrText>
    </w:r>
    <w:r>
      <w:fldChar w:fldCharType="separate"/>
    </w:r>
    <w:r>
      <w:rPr>
        <w:rFonts w:ascii="Tahoma" w:eastAsia="Tahoma" w:hAnsi="Tahoma" w:cs="Tahoma"/>
        <w:b/>
        <w:sz w:val="24"/>
      </w:rPr>
      <w:t>10</w:t>
    </w:r>
    <w:r>
      <w:rPr>
        <w:rFonts w:ascii="Tahoma" w:eastAsia="Tahoma" w:hAnsi="Tahoma" w:cs="Tahoma"/>
        <w:b/>
        <w:sz w:val="24"/>
      </w:rPr>
      <w:fldChar w:fldCharType="end"/>
    </w:r>
    <w:r>
      <w:rPr>
        <w:rFonts w:ascii="Tahoma" w:eastAsia="Tahoma" w:hAnsi="Tahoma" w:cs="Tahoma"/>
        <w:sz w:val="24"/>
      </w:rPr>
      <w:t xml:space="preserve"> of </w:t>
    </w:r>
    <w:fldSimple w:instr=" NUMPAGES   \* MERGEFORMAT ">
      <w:r>
        <w:rPr>
          <w:rFonts w:ascii="Tahoma" w:eastAsia="Tahoma" w:hAnsi="Tahoma" w:cs="Tahoma"/>
          <w:b/>
          <w:sz w:val="24"/>
        </w:rPr>
        <w:t>13</w:t>
      </w:r>
    </w:fldSimple>
    <w:r>
      <w:rPr>
        <w:rFonts w:ascii="Tahoma" w:eastAsia="Tahoma" w:hAnsi="Tahoma" w:cs="Tahoma"/>
        <w:sz w:val="24"/>
      </w:rPr>
      <w:t xml:space="preserve"> </w:t>
    </w:r>
  </w:p>
  <w:p w:rsidR="008A6DBD" w:rsidRDefault="007902A1">
    <w:pPr>
      <w:spacing w:after="0" w:line="259" w:lineRule="auto"/>
      <w:ind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BD" w:rsidRDefault="007902A1">
    <w:pPr>
      <w:spacing w:after="0" w:line="259" w:lineRule="auto"/>
      <w:ind w:left="0" w:right="-6" w:firstLine="0"/>
      <w:jc w:val="right"/>
    </w:pPr>
    <w:r>
      <w:rPr>
        <w:rFonts w:ascii="Tahoma" w:eastAsia="Tahoma" w:hAnsi="Tahoma" w:cs="Tahoma"/>
        <w:sz w:val="24"/>
      </w:rPr>
      <w:t xml:space="preserve">Page </w:t>
    </w:r>
    <w:r>
      <w:fldChar w:fldCharType="begin"/>
    </w:r>
    <w:r>
      <w:instrText xml:space="preserve"> PAGE   \* MERGEFORMAT </w:instrText>
    </w:r>
    <w:r>
      <w:fldChar w:fldCharType="separate"/>
    </w:r>
    <w:r>
      <w:rPr>
        <w:rFonts w:ascii="Tahoma" w:eastAsia="Tahoma" w:hAnsi="Tahoma" w:cs="Tahoma"/>
        <w:b/>
        <w:sz w:val="24"/>
      </w:rPr>
      <w:t>10</w:t>
    </w:r>
    <w:r>
      <w:rPr>
        <w:rFonts w:ascii="Tahoma" w:eastAsia="Tahoma" w:hAnsi="Tahoma" w:cs="Tahoma"/>
        <w:b/>
        <w:sz w:val="24"/>
      </w:rPr>
      <w:fldChar w:fldCharType="end"/>
    </w:r>
    <w:r>
      <w:rPr>
        <w:rFonts w:ascii="Tahoma" w:eastAsia="Tahoma" w:hAnsi="Tahoma" w:cs="Tahoma"/>
        <w:sz w:val="24"/>
      </w:rPr>
      <w:t xml:space="preserve"> of </w:t>
    </w:r>
    <w:fldSimple w:instr=" NUMPAGES   \* MERGEFORMAT ">
      <w:r>
        <w:rPr>
          <w:rFonts w:ascii="Tahoma" w:eastAsia="Tahoma" w:hAnsi="Tahoma" w:cs="Tahoma"/>
          <w:b/>
          <w:sz w:val="24"/>
        </w:rPr>
        <w:t>13</w:t>
      </w:r>
    </w:fldSimple>
    <w:r>
      <w:rPr>
        <w:rFonts w:ascii="Tahoma" w:eastAsia="Tahoma" w:hAnsi="Tahoma" w:cs="Tahoma"/>
        <w:sz w:val="24"/>
      </w:rPr>
      <w:t xml:space="preserve"> </w:t>
    </w:r>
  </w:p>
  <w:p w:rsidR="008A6DBD" w:rsidRDefault="007902A1">
    <w:pPr>
      <w:spacing w:after="0" w:line="259" w:lineRule="auto"/>
      <w:ind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BD" w:rsidRDefault="007902A1">
    <w:pPr>
      <w:spacing w:after="0" w:line="259" w:lineRule="auto"/>
      <w:ind w:left="0" w:right="-6" w:firstLine="0"/>
      <w:jc w:val="right"/>
    </w:pPr>
    <w:r>
      <w:rPr>
        <w:rFonts w:ascii="Tahoma" w:eastAsia="Tahoma" w:hAnsi="Tahoma" w:cs="Tahoma"/>
        <w:sz w:val="24"/>
      </w:rPr>
      <w:t xml:space="preserve">Page </w:t>
    </w:r>
    <w:r>
      <w:fldChar w:fldCharType="begin"/>
    </w:r>
    <w:r>
      <w:instrText xml:space="preserve"> PAGE   \* MERGEFORMAT </w:instrText>
    </w:r>
    <w:r>
      <w:fldChar w:fldCharType="separate"/>
    </w:r>
    <w:r>
      <w:rPr>
        <w:rFonts w:ascii="Tahoma" w:eastAsia="Tahoma" w:hAnsi="Tahoma" w:cs="Tahoma"/>
        <w:b/>
        <w:sz w:val="24"/>
      </w:rPr>
      <w:t>10</w:t>
    </w:r>
    <w:r>
      <w:rPr>
        <w:rFonts w:ascii="Tahoma" w:eastAsia="Tahoma" w:hAnsi="Tahoma" w:cs="Tahoma"/>
        <w:b/>
        <w:sz w:val="24"/>
      </w:rPr>
      <w:fldChar w:fldCharType="end"/>
    </w:r>
    <w:r>
      <w:rPr>
        <w:rFonts w:ascii="Tahoma" w:eastAsia="Tahoma" w:hAnsi="Tahoma" w:cs="Tahoma"/>
        <w:sz w:val="24"/>
      </w:rPr>
      <w:t xml:space="preserve"> of </w:t>
    </w:r>
    <w:fldSimple w:instr=" NUMPAGES   \* MERGEFORMAT ">
      <w:r>
        <w:rPr>
          <w:rFonts w:ascii="Tahoma" w:eastAsia="Tahoma" w:hAnsi="Tahoma" w:cs="Tahoma"/>
          <w:b/>
          <w:sz w:val="24"/>
        </w:rPr>
        <w:t>13</w:t>
      </w:r>
    </w:fldSimple>
    <w:r>
      <w:rPr>
        <w:rFonts w:ascii="Tahoma" w:eastAsia="Tahoma" w:hAnsi="Tahoma" w:cs="Tahoma"/>
        <w:sz w:val="24"/>
      </w:rPr>
      <w:t xml:space="preserve"> </w:t>
    </w:r>
  </w:p>
  <w:p w:rsidR="008A6DBD" w:rsidRDefault="007902A1">
    <w:pPr>
      <w:spacing w:after="0" w:line="259" w:lineRule="auto"/>
      <w:ind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FE5" w:rsidRDefault="00322FE5">
      <w:pPr>
        <w:spacing w:after="0" w:line="253" w:lineRule="auto"/>
        <w:ind w:firstLine="0"/>
        <w:jc w:val="both"/>
      </w:pPr>
      <w:r>
        <w:separator/>
      </w:r>
    </w:p>
  </w:footnote>
  <w:footnote w:type="continuationSeparator" w:id="0">
    <w:p w:rsidR="00322FE5" w:rsidRDefault="00322FE5">
      <w:pPr>
        <w:spacing w:after="0" w:line="253" w:lineRule="auto"/>
        <w:ind w:firstLine="0"/>
        <w:jc w:val="both"/>
      </w:pPr>
      <w:r>
        <w:continuationSeparator/>
      </w:r>
    </w:p>
  </w:footnote>
  <w:footnote w:id="1">
    <w:p w:rsidR="008A6DBD" w:rsidRPr="00F50BE3" w:rsidRDefault="008A6DBD" w:rsidP="00F50BE3">
      <w:pPr>
        <w:pStyle w:val="FootnoteText"/>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2734"/>
    <w:multiLevelType w:val="hybridMultilevel"/>
    <w:tmpl w:val="7CDEBC14"/>
    <w:lvl w:ilvl="0" w:tplc="CBE82616">
      <w:start w:val="1"/>
      <w:numFmt w:val="bullet"/>
      <w:lvlText w:val="•"/>
      <w:lvlJc w:val="left"/>
      <w:pPr>
        <w:ind w:left="4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580F204">
      <w:start w:val="1"/>
      <w:numFmt w:val="bullet"/>
      <w:lvlText w:val="o"/>
      <w:lvlJc w:val="left"/>
      <w:pPr>
        <w:ind w:left="1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1A54E6">
      <w:start w:val="1"/>
      <w:numFmt w:val="bullet"/>
      <w:lvlText w:val="▪"/>
      <w:lvlJc w:val="left"/>
      <w:pPr>
        <w:ind w:left="1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903D64">
      <w:start w:val="1"/>
      <w:numFmt w:val="bullet"/>
      <w:lvlText w:val="•"/>
      <w:lvlJc w:val="left"/>
      <w:pPr>
        <w:ind w:left="2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E8BF1C">
      <w:start w:val="1"/>
      <w:numFmt w:val="bullet"/>
      <w:lvlText w:val="o"/>
      <w:lvlJc w:val="left"/>
      <w:pPr>
        <w:ind w:left="3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E6726E">
      <w:start w:val="1"/>
      <w:numFmt w:val="bullet"/>
      <w:lvlText w:val="▪"/>
      <w:lvlJc w:val="left"/>
      <w:pPr>
        <w:ind w:left="4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09053FE">
      <w:start w:val="1"/>
      <w:numFmt w:val="bullet"/>
      <w:lvlText w:val="•"/>
      <w:lvlJc w:val="left"/>
      <w:pPr>
        <w:ind w:left="4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ECB77C">
      <w:start w:val="1"/>
      <w:numFmt w:val="bullet"/>
      <w:lvlText w:val="o"/>
      <w:lvlJc w:val="left"/>
      <w:pPr>
        <w:ind w:left="5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609FB2">
      <w:start w:val="1"/>
      <w:numFmt w:val="bullet"/>
      <w:lvlText w:val="▪"/>
      <w:lvlJc w:val="left"/>
      <w:pPr>
        <w:ind w:left="6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A528B7"/>
    <w:multiLevelType w:val="hybridMultilevel"/>
    <w:tmpl w:val="4CDE5496"/>
    <w:lvl w:ilvl="0" w:tplc="74BE2CA4">
      <w:start w:val="1"/>
      <w:numFmt w:val="bullet"/>
      <w:lvlText w:val="•"/>
      <w:lvlJc w:val="left"/>
      <w:pPr>
        <w:ind w:left="4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BA3608">
      <w:start w:val="1"/>
      <w:numFmt w:val="bullet"/>
      <w:lvlText w:val="o"/>
      <w:lvlJc w:val="left"/>
      <w:pPr>
        <w:ind w:left="11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725A30">
      <w:start w:val="1"/>
      <w:numFmt w:val="bullet"/>
      <w:lvlText w:val="▪"/>
      <w:lvlJc w:val="left"/>
      <w:pPr>
        <w:ind w:left="18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14215E">
      <w:start w:val="1"/>
      <w:numFmt w:val="bullet"/>
      <w:lvlText w:val="•"/>
      <w:lvlJc w:val="left"/>
      <w:pPr>
        <w:ind w:left="25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68EEDA">
      <w:start w:val="1"/>
      <w:numFmt w:val="bullet"/>
      <w:lvlText w:val="o"/>
      <w:lvlJc w:val="left"/>
      <w:pPr>
        <w:ind w:left="32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1E8D54">
      <w:start w:val="1"/>
      <w:numFmt w:val="bullet"/>
      <w:lvlText w:val="▪"/>
      <w:lvlJc w:val="left"/>
      <w:pPr>
        <w:ind w:left="39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5EE250">
      <w:start w:val="1"/>
      <w:numFmt w:val="bullet"/>
      <w:lvlText w:val="•"/>
      <w:lvlJc w:val="left"/>
      <w:pPr>
        <w:ind w:left="4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1CB16C">
      <w:start w:val="1"/>
      <w:numFmt w:val="bullet"/>
      <w:lvlText w:val="o"/>
      <w:lvlJc w:val="left"/>
      <w:pPr>
        <w:ind w:left="54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6881E2">
      <w:start w:val="1"/>
      <w:numFmt w:val="bullet"/>
      <w:lvlText w:val="▪"/>
      <w:lvlJc w:val="left"/>
      <w:pPr>
        <w:ind w:left="6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C00B3D"/>
    <w:multiLevelType w:val="hybridMultilevel"/>
    <w:tmpl w:val="DB4A5B8C"/>
    <w:lvl w:ilvl="0" w:tplc="645ED84E">
      <w:numFmt w:val="bullet"/>
      <w:lvlText w:val=""/>
      <w:lvlJc w:val="left"/>
      <w:pPr>
        <w:ind w:left="421" w:hanging="360"/>
      </w:pPr>
      <w:rPr>
        <w:rFonts w:ascii="Segoe UI Symbol" w:eastAsia="Segoe UI Symbol" w:hAnsi="Segoe UI Symbol" w:cs="Segoe UI Symbol" w:hint="default"/>
      </w:rPr>
    </w:lvl>
    <w:lvl w:ilvl="1" w:tplc="08090003" w:tentative="1">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3" w15:restartNumberingAfterBreak="0">
    <w:nsid w:val="0DFD611A"/>
    <w:multiLevelType w:val="hybridMultilevel"/>
    <w:tmpl w:val="F1CCDC54"/>
    <w:lvl w:ilvl="0" w:tplc="2124D566">
      <w:start w:val="1"/>
      <w:numFmt w:val="bullet"/>
      <w:lvlText w:val="•"/>
      <w:lvlJc w:val="left"/>
      <w:pPr>
        <w:ind w:left="4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52E90A">
      <w:start w:val="1"/>
      <w:numFmt w:val="bullet"/>
      <w:lvlText w:val="o"/>
      <w:lvlJc w:val="left"/>
      <w:pPr>
        <w:ind w:left="11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B02D7C">
      <w:start w:val="1"/>
      <w:numFmt w:val="bullet"/>
      <w:lvlText w:val="▪"/>
      <w:lvlJc w:val="left"/>
      <w:pPr>
        <w:ind w:left="18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3A8BD24">
      <w:start w:val="1"/>
      <w:numFmt w:val="bullet"/>
      <w:lvlText w:val="•"/>
      <w:lvlJc w:val="left"/>
      <w:pPr>
        <w:ind w:left="2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A857FE">
      <w:start w:val="1"/>
      <w:numFmt w:val="bullet"/>
      <w:lvlText w:val="o"/>
      <w:lvlJc w:val="left"/>
      <w:pPr>
        <w:ind w:left="33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228AC0">
      <w:start w:val="1"/>
      <w:numFmt w:val="bullet"/>
      <w:lvlText w:val="▪"/>
      <w:lvlJc w:val="left"/>
      <w:pPr>
        <w:ind w:left="40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1C97F8">
      <w:start w:val="1"/>
      <w:numFmt w:val="bullet"/>
      <w:lvlText w:val="•"/>
      <w:lvlJc w:val="left"/>
      <w:pPr>
        <w:ind w:left="4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861B56">
      <w:start w:val="1"/>
      <w:numFmt w:val="bullet"/>
      <w:lvlText w:val="o"/>
      <w:lvlJc w:val="left"/>
      <w:pPr>
        <w:ind w:left="54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C29186">
      <w:start w:val="1"/>
      <w:numFmt w:val="bullet"/>
      <w:lvlText w:val="▪"/>
      <w:lvlJc w:val="left"/>
      <w:pPr>
        <w:ind w:left="61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D3217A"/>
    <w:multiLevelType w:val="hybridMultilevel"/>
    <w:tmpl w:val="EBDE24BE"/>
    <w:lvl w:ilvl="0" w:tplc="1430E20A">
      <w:start w:val="1"/>
      <w:numFmt w:val="bullet"/>
      <w:lvlText w:val="•"/>
      <w:lvlJc w:val="left"/>
      <w:pPr>
        <w:ind w:left="9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DE910C">
      <w:start w:val="1"/>
      <w:numFmt w:val="bullet"/>
      <w:lvlText w:val="o"/>
      <w:lvlJc w:val="left"/>
      <w:pPr>
        <w:ind w:left="16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3220E8">
      <w:start w:val="1"/>
      <w:numFmt w:val="bullet"/>
      <w:lvlText w:val="▪"/>
      <w:lvlJc w:val="left"/>
      <w:pPr>
        <w:ind w:left="24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DAA842">
      <w:start w:val="1"/>
      <w:numFmt w:val="bullet"/>
      <w:lvlText w:val="•"/>
      <w:lvlJc w:val="left"/>
      <w:pPr>
        <w:ind w:left="3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DE697A8">
      <w:start w:val="1"/>
      <w:numFmt w:val="bullet"/>
      <w:lvlText w:val="o"/>
      <w:lvlJc w:val="left"/>
      <w:pPr>
        <w:ind w:left="38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50A5668">
      <w:start w:val="1"/>
      <w:numFmt w:val="bullet"/>
      <w:lvlText w:val="▪"/>
      <w:lvlJc w:val="left"/>
      <w:pPr>
        <w:ind w:left="45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6AE084">
      <w:start w:val="1"/>
      <w:numFmt w:val="bullet"/>
      <w:lvlText w:val="•"/>
      <w:lvlJc w:val="left"/>
      <w:pPr>
        <w:ind w:left="52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BB23704">
      <w:start w:val="1"/>
      <w:numFmt w:val="bullet"/>
      <w:lvlText w:val="o"/>
      <w:lvlJc w:val="left"/>
      <w:pPr>
        <w:ind w:left="60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5CED22">
      <w:start w:val="1"/>
      <w:numFmt w:val="bullet"/>
      <w:lvlText w:val="▪"/>
      <w:lvlJc w:val="left"/>
      <w:pPr>
        <w:ind w:left="67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E64187"/>
    <w:multiLevelType w:val="hybridMultilevel"/>
    <w:tmpl w:val="53C6352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21BB3792"/>
    <w:multiLevelType w:val="hybridMultilevel"/>
    <w:tmpl w:val="52005DEC"/>
    <w:lvl w:ilvl="0" w:tplc="9350D65A">
      <w:start w:val="1"/>
      <w:numFmt w:val="bullet"/>
      <w:lvlText w:val="•"/>
      <w:lvlJc w:val="left"/>
      <w:pPr>
        <w:ind w:left="4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56573E">
      <w:start w:val="1"/>
      <w:numFmt w:val="bullet"/>
      <w:lvlText w:val="o"/>
      <w:lvlJc w:val="left"/>
      <w:pPr>
        <w:ind w:left="11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0C497E">
      <w:start w:val="1"/>
      <w:numFmt w:val="bullet"/>
      <w:lvlText w:val="▪"/>
      <w:lvlJc w:val="left"/>
      <w:pPr>
        <w:ind w:left="18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3A9602">
      <w:start w:val="1"/>
      <w:numFmt w:val="bullet"/>
      <w:lvlText w:val="•"/>
      <w:lvlJc w:val="left"/>
      <w:pPr>
        <w:ind w:left="2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DC603C">
      <w:start w:val="1"/>
      <w:numFmt w:val="bullet"/>
      <w:lvlText w:val="o"/>
      <w:lvlJc w:val="left"/>
      <w:pPr>
        <w:ind w:left="33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AC558A">
      <w:start w:val="1"/>
      <w:numFmt w:val="bullet"/>
      <w:lvlText w:val="▪"/>
      <w:lvlJc w:val="left"/>
      <w:pPr>
        <w:ind w:left="40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709FF4">
      <w:start w:val="1"/>
      <w:numFmt w:val="bullet"/>
      <w:lvlText w:val="•"/>
      <w:lvlJc w:val="left"/>
      <w:pPr>
        <w:ind w:left="4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1CFD00">
      <w:start w:val="1"/>
      <w:numFmt w:val="bullet"/>
      <w:lvlText w:val="o"/>
      <w:lvlJc w:val="left"/>
      <w:pPr>
        <w:ind w:left="54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B8712E">
      <w:start w:val="1"/>
      <w:numFmt w:val="bullet"/>
      <w:lvlText w:val="▪"/>
      <w:lvlJc w:val="left"/>
      <w:pPr>
        <w:ind w:left="61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0014CD8"/>
    <w:multiLevelType w:val="hybridMultilevel"/>
    <w:tmpl w:val="97ECDFEE"/>
    <w:lvl w:ilvl="0" w:tplc="6994DC78">
      <w:start w:val="1"/>
      <w:numFmt w:val="bullet"/>
      <w:lvlText w:val="•"/>
      <w:lvlJc w:val="left"/>
      <w:pPr>
        <w:ind w:left="4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B0CBE2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A41CB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46CA7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BEEFB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B2C15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24A22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CE18D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68A64C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2E144F6"/>
    <w:multiLevelType w:val="hybridMultilevel"/>
    <w:tmpl w:val="82E86F0C"/>
    <w:lvl w:ilvl="0" w:tplc="64AECBE8">
      <w:start w:val="1"/>
      <w:numFmt w:val="bullet"/>
      <w:lvlText w:val="•"/>
      <w:lvlJc w:val="left"/>
      <w:pPr>
        <w:ind w:left="7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BCFDA4">
      <w:start w:val="1"/>
      <w:numFmt w:val="bullet"/>
      <w:lvlText w:val="o"/>
      <w:lvlJc w:val="left"/>
      <w:pPr>
        <w:ind w:left="14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42DC30">
      <w:start w:val="1"/>
      <w:numFmt w:val="bullet"/>
      <w:lvlText w:val="▪"/>
      <w:lvlJc w:val="left"/>
      <w:pPr>
        <w:ind w:left="21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DA3BB6">
      <w:start w:val="1"/>
      <w:numFmt w:val="bullet"/>
      <w:lvlText w:val="•"/>
      <w:lvlJc w:val="left"/>
      <w:pPr>
        <w:ind w:left="28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22BBC8">
      <w:start w:val="1"/>
      <w:numFmt w:val="bullet"/>
      <w:lvlText w:val="o"/>
      <w:lvlJc w:val="left"/>
      <w:pPr>
        <w:ind w:left="35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5329C20">
      <w:start w:val="1"/>
      <w:numFmt w:val="bullet"/>
      <w:lvlText w:val="▪"/>
      <w:lvlJc w:val="left"/>
      <w:pPr>
        <w:ind w:left="42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BAB286">
      <w:start w:val="1"/>
      <w:numFmt w:val="bullet"/>
      <w:lvlText w:val="•"/>
      <w:lvlJc w:val="left"/>
      <w:pPr>
        <w:ind w:left="50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361562">
      <w:start w:val="1"/>
      <w:numFmt w:val="bullet"/>
      <w:lvlText w:val="o"/>
      <w:lvlJc w:val="left"/>
      <w:pPr>
        <w:ind w:left="5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FC6982">
      <w:start w:val="1"/>
      <w:numFmt w:val="bullet"/>
      <w:lvlText w:val="▪"/>
      <w:lvlJc w:val="left"/>
      <w:pPr>
        <w:ind w:left="64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070D68"/>
    <w:multiLevelType w:val="hybridMultilevel"/>
    <w:tmpl w:val="09C88ADC"/>
    <w:lvl w:ilvl="0" w:tplc="9CA03242">
      <w:start w:val="1"/>
      <w:numFmt w:val="bullet"/>
      <w:lvlText w:val="•"/>
      <w:lvlJc w:val="left"/>
      <w:pPr>
        <w:ind w:left="4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880F3C">
      <w:start w:val="1"/>
      <w:numFmt w:val="bullet"/>
      <w:lvlText w:val="o"/>
      <w:lvlJc w:val="left"/>
      <w:pPr>
        <w:ind w:left="10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63010EA">
      <w:start w:val="1"/>
      <w:numFmt w:val="bullet"/>
      <w:lvlText w:val="▪"/>
      <w:lvlJc w:val="left"/>
      <w:pPr>
        <w:ind w:left="18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5C0C08">
      <w:start w:val="1"/>
      <w:numFmt w:val="bullet"/>
      <w:lvlText w:val="•"/>
      <w:lvlJc w:val="left"/>
      <w:pPr>
        <w:ind w:left="2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44A920">
      <w:start w:val="1"/>
      <w:numFmt w:val="bullet"/>
      <w:lvlText w:val="o"/>
      <w:lvlJc w:val="left"/>
      <w:pPr>
        <w:ind w:left="32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F45928">
      <w:start w:val="1"/>
      <w:numFmt w:val="bullet"/>
      <w:lvlText w:val="▪"/>
      <w:lvlJc w:val="left"/>
      <w:pPr>
        <w:ind w:left="3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346354">
      <w:start w:val="1"/>
      <w:numFmt w:val="bullet"/>
      <w:lvlText w:val="•"/>
      <w:lvlJc w:val="left"/>
      <w:pPr>
        <w:ind w:left="46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C8B31A">
      <w:start w:val="1"/>
      <w:numFmt w:val="bullet"/>
      <w:lvlText w:val="o"/>
      <w:lvlJc w:val="left"/>
      <w:pPr>
        <w:ind w:left="54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8AA76A">
      <w:start w:val="1"/>
      <w:numFmt w:val="bullet"/>
      <w:lvlText w:val="▪"/>
      <w:lvlJc w:val="left"/>
      <w:pPr>
        <w:ind w:left="61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DBF02EB"/>
    <w:multiLevelType w:val="hybridMultilevel"/>
    <w:tmpl w:val="370E6D82"/>
    <w:lvl w:ilvl="0" w:tplc="8EF01490">
      <w:start w:val="1"/>
      <w:numFmt w:val="bullet"/>
      <w:lvlText w:val="•"/>
      <w:lvlJc w:val="left"/>
      <w:pPr>
        <w:ind w:left="4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BA2D4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C0A2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65C1C0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1040A8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7E868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FA4CA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7247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1B4B97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
  </w:num>
  <w:num w:numId="3">
    <w:abstractNumId w:val="6"/>
  </w:num>
  <w:num w:numId="4">
    <w:abstractNumId w:val="7"/>
  </w:num>
  <w:num w:numId="5">
    <w:abstractNumId w:val="8"/>
  </w:num>
  <w:num w:numId="6">
    <w:abstractNumId w:val="0"/>
  </w:num>
  <w:num w:numId="7">
    <w:abstractNumId w:val="1"/>
  </w:num>
  <w:num w:numId="8">
    <w:abstractNumId w:val="4"/>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BD"/>
    <w:rsid w:val="000B654A"/>
    <w:rsid w:val="0012621F"/>
    <w:rsid w:val="002C400E"/>
    <w:rsid w:val="00322FE5"/>
    <w:rsid w:val="00353038"/>
    <w:rsid w:val="00360839"/>
    <w:rsid w:val="003D0F2A"/>
    <w:rsid w:val="00463A7D"/>
    <w:rsid w:val="00466471"/>
    <w:rsid w:val="004C64E7"/>
    <w:rsid w:val="006B4504"/>
    <w:rsid w:val="006F36F1"/>
    <w:rsid w:val="007902A1"/>
    <w:rsid w:val="008A6DBD"/>
    <w:rsid w:val="009F53C6"/>
    <w:rsid w:val="00A44A96"/>
    <w:rsid w:val="00A56202"/>
    <w:rsid w:val="00A63B47"/>
    <w:rsid w:val="00A65810"/>
    <w:rsid w:val="00A856C6"/>
    <w:rsid w:val="00B4002C"/>
    <w:rsid w:val="00C52556"/>
    <w:rsid w:val="00D1425E"/>
    <w:rsid w:val="00D334AC"/>
    <w:rsid w:val="00E20927"/>
    <w:rsid w:val="00E94764"/>
    <w:rsid w:val="00ED5635"/>
    <w:rsid w:val="00F50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6D23"/>
  <w15:docId w15:val="{D9C7DCEB-5FFE-4AFD-A30F-FFFD9CEA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6" w:firstLine="9"/>
    </w:pPr>
    <w:rPr>
      <w:rFonts w:ascii="Arial" w:eastAsia="Arial" w:hAnsi="Arial" w:cs="Arial"/>
      <w:color w:val="000000"/>
      <w:sz w:val="28"/>
    </w:rPr>
  </w:style>
  <w:style w:type="paragraph" w:styleId="Heading1">
    <w:name w:val="heading 1"/>
    <w:next w:val="Normal"/>
    <w:link w:val="Heading1Char"/>
    <w:uiPriority w:val="9"/>
    <w:qFormat/>
    <w:pPr>
      <w:keepNext/>
      <w:keepLines/>
      <w:spacing w:after="4" w:line="254" w:lineRule="auto"/>
      <w:ind w:left="86"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 w:line="254" w:lineRule="auto"/>
      <w:ind w:left="86"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4" w:line="254" w:lineRule="auto"/>
      <w:ind w:left="86"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3" w:lineRule="auto"/>
      <w:ind w:left="76"/>
      <w:jc w:val="both"/>
    </w:pPr>
    <w:rPr>
      <w:rFonts w:ascii="Arial" w:eastAsia="Arial" w:hAnsi="Arial" w:cs="Arial"/>
      <w:i/>
      <w:color w:val="0000FF"/>
      <w:sz w:val="20"/>
      <w:u w:val="single" w:color="0000FF"/>
    </w:rPr>
  </w:style>
  <w:style w:type="character" w:customStyle="1" w:styleId="footnotedescriptionChar">
    <w:name w:val="footnote description Char"/>
    <w:link w:val="footnotedescription"/>
    <w:rPr>
      <w:rFonts w:ascii="Arial" w:eastAsia="Arial" w:hAnsi="Arial" w:cs="Arial"/>
      <w:i/>
      <w:color w:val="0000FF"/>
      <w:sz w:val="20"/>
      <w:u w:val="single" w:color="0000FF"/>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4" w:line="254" w:lineRule="auto"/>
      <w:ind w:left="101" w:right="464" w:hanging="10"/>
    </w:pPr>
    <w:rPr>
      <w:rFonts w:ascii="Arial" w:eastAsia="Arial" w:hAnsi="Arial" w:cs="Arial"/>
      <w:b/>
      <w:color w:val="000000"/>
      <w:sz w:val="28"/>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B6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4A"/>
    <w:rPr>
      <w:rFonts w:ascii="Segoe UI" w:eastAsia="Arial" w:hAnsi="Segoe UI" w:cs="Segoe UI"/>
      <w:color w:val="000000"/>
      <w:sz w:val="18"/>
      <w:szCs w:val="18"/>
    </w:rPr>
  </w:style>
  <w:style w:type="character" w:styleId="Hyperlink">
    <w:name w:val="Hyperlink"/>
    <w:basedOn w:val="DefaultParagraphFont"/>
    <w:uiPriority w:val="99"/>
    <w:unhideWhenUsed/>
    <w:rsid w:val="00B4002C"/>
    <w:rPr>
      <w:color w:val="0000FF"/>
      <w:u w:val="single"/>
    </w:rPr>
  </w:style>
  <w:style w:type="character" w:styleId="FollowedHyperlink">
    <w:name w:val="FollowedHyperlink"/>
    <w:basedOn w:val="DefaultParagraphFont"/>
    <w:uiPriority w:val="99"/>
    <w:semiHidden/>
    <w:unhideWhenUsed/>
    <w:rsid w:val="00B4002C"/>
    <w:rPr>
      <w:color w:val="954F72" w:themeColor="followedHyperlink"/>
      <w:u w:val="single"/>
    </w:rPr>
  </w:style>
  <w:style w:type="paragraph" w:styleId="ListParagraph">
    <w:name w:val="List Paragraph"/>
    <w:basedOn w:val="Normal"/>
    <w:uiPriority w:val="34"/>
    <w:qFormat/>
    <w:rsid w:val="009F53C6"/>
    <w:pPr>
      <w:ind w:left="720"/>
      <w:contextualSpacing/>
    </w:pPr>
  </w:style>
  <w:style w:type="paragraph" w:styleId="FootnoteText">
    <w:name w:val="footnote text"/>
    <w:basedOn w:val="Normal"/>
    <w:link w:val="FootnoteTextChar"/>
    <w:uiPriority w:val="99"/>
    <w:semiHidden/>
    <w:unhideWhenUsed/>
    <w:rsid w:val="00F50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BE3"/>
    <w:rPr>
      <w:rFonts w:ascii="Arial" w:eastAsia="Arial" w:hAnsi="Arial" w:cs="Arial"/>
      <w:color w:val="000000"/>
      <w:sz w:val="20"/>
      <w:szCs w:val="20"/>
    </w:rPr>
  </w:style>
  <w:style w:type="paragraph" w:styleId="Header">
    <w:name w:val="header"/>
    <w:basedOn w:val="Normal"/>
    <w:link w:val="HeaderChar"/>
    <w:uiPriority w:val="99"/>
    <w:unhideWhenUsed/>
    <w:rsid w:val="00F50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BE3"/>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gislation.gov.uk/nisi/1993/1250/contents/made" TargetMode="External"/><Relationship Id="rId13" Type="http://schemas.openxmlformats.org/officeDocument/2006/relationships/hyperlink" Target="http://www.dhsspsni.gov.uk/print/codeofpracticeleafletmay2009.pdf" TargetMode="External"/><Relationship Id="rId18" Type="http://schemas.openxmlformats.org/officeDocument/2006/relationships/hyperlink" Target="http://www.legislation.gov.uk/uksi/2000/417/contents/made" TargetMode="External"/><Relationship Id="rId26" Type="http://schemas.openxmlformats.org/officeDocument/2006/relationships/hyperlink" Target="http://www.legislation.gov.uk/ukpga/2000/36/contents" TargetMode="External"/><Relationship Id="rId39" Type="http://schemas.openxmlformats.org/officeDocument/2006/relationships/hyperlink" Target="http://www.legislation.gov.uk/uksi/2005/1515/introduction/made" TargetMode="External"/><Relationship Id="rId3" Type="http://schemas.openxmlformats.org/officeDocument/2006/relationships/settings" Target="settings.xml"/><Relationship Id="rId21" Type="http://schemas.openxmlformats.org/officeDocument/2006/relationships/hyperlink" Target="http://www.opsi.gov.uk/si/si2004/draft/20040331.htm" TargetMode="External"/><Relationship Id="rId34" Type="http://schemas.openxmlformats.org/officeDocument/2006/relationships/hyperlink" Target="http://www.statutelaw.gov.uk/legResults.aspx?LegType=All+Legislation&amp;title=freedom+of+information&amp;Year=2000&amp;searchEnacted=0&amp;extentMatchOnly=0&amp;confersPower=0&amp;blanketAmendment=0&amp;TYPE=QS&amp;NavFrom=0&amp;activeTextDocId=1876329&amp;PageNumber=1&amp;SortAlpha=0" TargetMode="External"/><Relationship Id="rId42"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legislation.gov.uk/nisi/1991/1707/contents/made" TargetMode="External"/><Relationship Id="rId17" Type="http://schemas.openxmlformats.org/officeDocument/2006/relationships/hyperlink" Target="http://www.legislation.gov.uk/uksi/2000/417/contents/made" TargetMode="External"/><Relationship Id="rId25" Type="http://schemas.openxmlformats.org/officeDocument/2006/relationships/hyperlink" Target="http://www.legislation.gov.uk/ukpga/2000/36/contents" TargetMode="External"/><Relationship Id="rId33" Type="http://schemas.openxmlformats.org/officeDocument/2006/relationships/hyperlink" Target="http://www.statutelaw.gov.uk/content.aspx?LegType=All+Legislation&amp;searchEnacted=0&amp;extentMatchOnly=0&amp;confersPower=0&amp;blanketAmendment=0&amp;sortAlpha=0&amp;PageNumber=0&amp;NavFrom=0&amp;parentActiveTextDocId=1922108&amp;ActiveTextDocId=1922108&amp;filesize=57516" TargetMode="External"/><Relationship Id="rId38" Type="http://schemas.openxmlformats.org/officeDocument/2006/relationships/hyperlink" Target="http://www.legislation.gov.uk/uksi/2005/1515/introduction/mad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gislation.gov.uk/uksi/2000/417/contents/made" TargetMode="External"/><Relationship Id="rId20" Type="http://schemas.openxmlformats.org/officeDocument/2006/relationships/hyperlink" Target="http://www.legislation.gov.uk/ukpga/2000/7/notes/contents" TargetMode="External"/><Relationship Id="rId29" Type="http://schemas.openxmlformats.org/officeDocument/2006/relationships/hyperlink" Target="http://www.legislation.gov.uk/uksi/2003/2426/contents/made" TargetMode="External"/><Relationship Id="rId41" Type="http://schemas.openxmlformats.org/officeDocument/2006/relationships/hyperlink" Target="http://www.legislation.gov.uk/uksi/2005/1515/introduction/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nisi/1991/1707/contents/made" TargetMode="External"/><Relationship Id="rId24" Type="http://schemas.openxmlformats.org/officeDocument/2006/relationships/hyperlink" Target="http://www.legislation.gov.uk/ukpga/2000/36/contents" TargetMode="External"/><Relationship Id="rId32" Type="http://schemas.openxmlformats.org/officeDocument/2006/relationships/hyperlink" Target="http://www.statutelaw.gov.uk/content.aspx?LegType=All+Legislation&amp;searchEnacted=0&amp;extentMatchOnly=0&amp;confersPower=0&amp;blanketAmendment=0&amp;sortAlpha=0&amp;PageNumber=0&amp;NavFrom=0&amp;parentActiveTextDocId=1922108&amp;ActiveTextDocId=1922108&amp;filesize=57516" TargetMode="External"/><Relationship Id="rId37" Type="http://schemas.openxmlformats.org/officeDocument/2006/relationships/hyperlink" Target="http://www.proni.gov.uk/index/professional_information/legislation.htm" TargetMode="External"/><Relationship Id="rId40" Type="http://schemas.openxmlformats.org/officeDocument/2006/relationships/hyperlink" Target="http://www.legislation.gov.uk/uksi/2005/1515/introduction/mad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gislation.gov.uk/ukpga/1990/18/contents" TargetMode="External"/><Relationship Id="rId23" Type="http://schemas.openxmlformats.org/officeDocument/2006/relationships/hyperlink" Target="http://www.legislation.gov.uk/ukpga/2000/36/contents" TargetMode="External"/><Relationship Id="rId28" Type="http://schemas.openxmlformats.org/officeDocument/2006/relationships/hyperlink" Target="http://www.legislation.gov.uk/uksi/2003/2426/contents/made" TargetMode="External"/><Relationship Id="rId36" Type="http://schemas.openxmlformats.org/officeDocument/2006/relationships/hyperlink" Target="http://www.proni.gov.uk/index/professional_information/legislation.htm" TargetMode="External"/><Relationship Id="rId10" Type="http://schemas.openxmlformats.org/officeDocument/2006/relationships/hyperlink" Target="http://www.legislation.gov.uk/nisi/1991/1707/contents/made" TargetMode="External"/><Relationship Id="rId19" Type="http://schemas.openxmlformats.org/officeDocument/2006/relationships/hyperlink" Target="http://www.legislation.gov.uk/ukpga/2000/7/notes/contents" TargetMode="External"/><Relationship Id="rId31" Type="http://schemas.openxmlformats.org/officeDocument/2006/relationships/hyperlink" Target="http://www.statutelaw.gov.uk/content.aspx?LegType=All+Legislation&amp;searchEnacted=0&amp;extentMatchOnly=0&amp;confersPower=0&amp;blanketAmendment=0&amp;sortAlpha=0&amp;PageNumber=0&amp;NavFrom=0&amp;parentActiveTextDocId=1908736&amp;ActiveTextDocId=1908736&amp;filesize=120977"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lation.gov.uk/nisi/1993/1250/contents/made" TargetMode="External"/><Relationship Id="rId14" Type="http://schemas.openxmlformats.org/officeDocument/2006/relationships/hyperlink" Target="http://www.legislation.gov.uk/ukpga/1990/18/contents" TargetMode="External"/><Relationship Id="rId22" Type="http://schemas.openxmlformats.org/officeDocument/2006/relationships/hyperlink" Target="http://www.opsi.gov.uk/si/si2004/draft/20040331.htm" TargetMode="External"/><Relationship Id="rId27" Type="http://schemas.openxmlformats.org/officeDocument/2006/relationships/hyperlink" Target="http://www.legislation.gov.uk/uksi/2003/2426/contents/made" TargetMode="External"/><Relationship Id="rId30" Type="http://schemas.openxmlformats.org/officeDocument/2006/relationships/hyperlink" Target="http://www.statutelaw.gov.uk/content.aspx?LegType=All+Legislation&amp;searchEnacted=0&amp;extentMatchOnly=0&amp;confersPower=0&amp;blanketAmendment=0&amp;sortAlpha=0&amp;PageNumber=0&amp;NavFrom=0&amp;parentActiveTextDocId=1908736&amp;ActiveTextDocId=1908736&amp;filesize=120977" TargetMode="External"/><Relationship Id="rId35" Type="http://schemas.openxmlformats.org/officeDocument/2006/relationships/hyperlink" Target="http://www.statutelaw.gov.uk/legResults.aspx?LegType=All+Legislation&amp;title=freedom+of+information&amp;Year=2000&amp;searchEnacted=0&amp;extentMatchOnly=0&amp;confersPower=0&amp;blanketAmendment=0&amp;TYPE=QS&amp;NavFrom=0&amp;activeTextDocId=1876329&amp;PageNumber=1&amp;SortAlpha=0"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14</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cp:lastModifiedBy>Janine Watterson</cp:lastModifiedBy>
  <cp:revision>7</cp:revision>
  <cp:lastPrinted>2023-11-13T16:39:00Z</cp:lastPrinted>
  <dcterms:created xsi:type="dcterms:W3CDTF">2023-09-18T12:30:00Z</dcterms:created>
  <dcterms:modified xsi:type="dcterms:W3CDTF">2023-11-14T15:54:00Z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1407464399</vt:i4>
  </property>
</Properties>
</file>